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85978" w14:textId="77777777" w:rsidR="00430B4B" w:rsidRDefault="00430B4B">
      <w:pPr>
        <w:spacing w:before="4"/>
        <w:rPr>
          <w:rFonts w:ascii="Times New Roman" w:eastAsia="Times New Roman" w:hAnsi="Times New Roman" w:cs="Times New Roman"/>
          <w:sz w:val="6"/>
          <w:szCs w:val="6"/>
        </w:rPr>
      </w:pPr>
    </w:p>
    <w:p w14:paraId="3F1D3260" w14:textId="77777777" w:rsidR="00430B4B" w:rsidRDefault="00A02031">
      <w:pPr>
        <w:spacing w:line="200" w:lineRule="atLeast"/>
        <w:ind w:left="228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85FEDC8" wp14:editId="5331E0A2">
            <wp:extent cx="3529774" cy="91344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529774" cy="913447"/>
                    </a:xfrm>
                    <a:prstGeom prst="rect">
                      <a:avLst/>
                    </a:prstGeom>
                  </pic:spPr>
                </pic:pic>
              </a:graphicData>
            </a:graphic>
          </wp:inline>
        </w:drawing>
      </w:r>
    </w:p>
    <w:p w14:paraId="3E240027" w14:textId="4ED2C1ED" w:rsidR="00FD137E" w:rsidRDefault="00AB2C59" w:rsidP="000876BF">
      <w:pPr>
        <w:spacing w:line="380" w:lineRule="exact"/>
        <w:ind w:right="10"/>
        <w:jc w:val="center"/>
        <w:rPr>
          <w:rFonts w:ascii="Times New Roman"/>
          <w:sz w:val="34"/>
        </w:rPr>
      </w:pPr>
      <w:r>
        <w:rPr>
          <w:rFonts w:ascii="Times New Roman"/>
          <w:sz w:val="34"/>
        </w:rPr>
        <w:t>Utilizing</w:t>
      </w:r>
      <w:r w:rsidR="00FD137E">
        <w:rPr>
          <w:rFonts w:ascii="Times New Roman"/>
          <w:sz w:val="34"/>
        </w:rPr>
        <w:t xml:space="preserve"> </w:t>
      </w:r>
      <w:r w:rsidR="000876BF">
        <w:rPr>
          <w:rFonts w:ascii="Times New Roman"/>
          <w:sz w:val="34"/>
        </w:rPr>
        <w:t>S</w:t>
      </w:r>
      <w:r w:rsidR="00FD137E">
        <w:rPr>
          <w:rFonts w:ascii="Times New Roman"/>
          <w:sz w:val="34"/>
        </w:rPr>
        <w:t>plit Fluorescent Proteins</w:t>
      </w:r>
      <w:r w:rsidR="000876BF">
        <w:rPr>
          <w:rFonts w:ascii="Times New Roman"/>
          <w:sz w:val="34"/>
        </w:rPr>
        <w:t xml:space="preserve"> t</w:t>
      </w:r>
      <w:r w:rsidR="00FD137E">
        <w:rPr>
          <w:rFonts w:ascii="Times New Roman"/>
          <w:sz w:val="34"/>
        </w:rPr>
        <w:t xml:space="preserve">o Visualize Binary Cell </w:t>
      </w:r>
      <w:r w:rsidR="00DD0F72">
        <w:rPr>
          <w:rFonts w:ascii="Times New Roman"/>
          <w:sz w:val="34"/>
        </w:rPr>
        <w:t>F</w:t>
      </w:r>
      <w:r w:rsidR="00FD137E">
        <w:rPr>
          <w:rFonts w:ascii="Times New Roman"/>
          <w:sz w:val="34"/>
        </w:rPr>
        <w:t>ate Decisions</w:t>
      </w:r>
    </w:p>
    <w:p w14:paraId="6907A96F" w14:textId="2024FB2A" w:rsidR="00430B4B" w:rsidRPr="00FA267D" w:rsidRDefault="00FD137E" w:rsidP="000876BF">
      <w:pPr>
        <w:spacing w:line="380" w:lineRule="exact"/>
        <w:ind w:left="3155" w:right="3192"/>
        <w:jc w:val="center"/>
        <w:rPr>
          <w:rFonts w:ascii="Times New Roman" w:hAnsi="Times New Roman" w:cs="Times New Roman"/>
          <w:sz w:val="16"/>
          <w:szCs w:val="16"/>
        </w:rPr>
      </w:pPr>
      <w:r w:rsidRPr="00FA267D">
        <w:rPr>
          <w:rFonts w:ascii="Times New Roman" w:hAnsi="Times New Roman" w:cs="Times New Roman"/>
          <w:spacing w:val="1"/>
          <w:w w:val="105"/>
        </w:rPr>
        <w:t>Setu Mehta</w:t>
      </w:r>
      <w:r w:rsidR="00A02031" w:rsidRPr="00FA267D">
        <w:rPr>
          <w:rFonts w:ascii="Times New Roman" w:hAnsi="Times New Roman" w:cs="Times New Roman"/>
          <w:spacing w:val="1"/>
          <w:w w:val="105"/>
          <w:position w:val="9"/>
          <w:sz w:val="16"/>
        </w:rPr>
        <w:t>1</w:t>
      </w:r>
    </w:p>
    <w:p w14:paraId="0F2FC970" w14:textId="4F36D91F" w:rsidR="00430B4B" w:rsidRDefault="00A02031" w:rsidP="00FD137E">
      <w:pPr>
        <w:spacing w:before="174" w:line="225" w:lineRule="exact"/>
        <w:ind w:right="43"/>
        <w:jc w:val="center"/>
        <w:rPr>
          <w:rFonts w:ascii="Times New Roman" w:eastAsia="Times New Roman" w:hAnsi="Times New Roman" w:cs="Times New Roman"/>
          <w:sz w:val="18"/>
          <w:szCs w:val="18"/>
        </w:rPr>
      </w:pPr>
      <w:r>
        <w:rPr>
          <w:rFonts w:ascii="Times New Roman"/>
          <w:w w:val="105"/>
          <w:position w:val="8"/>
          <w:sz w:val="12"/>
        </w:rPr>
        <w:t>1</w:t>
      </w:r>
      <w:r w:rsidR="00FD137E">
        <w:rPr>
          <w:rFonts w:ascii="Times New Roman"/>
          <w:i/>
          <w:w w:val="105"/>
          <w:sz w:val="18"/>
        </w:rPr>
        <w:t>Harvard College</w:t>
      </w:r>
    </w:p>
    <w:p w14:paraId="374F75DA" w14:textId="77777777" w:rsidR="00430B4B" w:rsidRDefault="00430B4B">
      <w:pPr>
        <w:rPr>
          <w:rFonts w:ascii="Times New Roman" w:eastAsia="Times New Roman" w:hAnsi="Times New Roman" w:cs="Times New Roman"/>
          <w:i/>
          <w:sz w:val="20"/>
          <w:szCs w:val="20"/>
        </w:rPr>
      </w:pPr>
    </w:p>
    <w:p w14:paraId="7E68ED74" w14:textId="302FD5F0" w:rsidR="00430B4B" w:rsidRDefault="003E725C">
      <w:pPr>
        <w:pStyle w:val="Heading2"/>
        <w:ind w:left="3154" w:right="3192"/>
        <w:jc w:val="center"/>
      </w:pPr>
      <w:r>
        <w:rPr>
          <w:spacing w:val="-1"/>
        </w:rPr>
        <w:t>May</w:t>
      </w:r>
      <w:r w:rsidR="00A02031">
        <w:rPr>
          <w:spacing w:val="19"/>
        </w:rPr>
        <w:t xml:space="preserve"> </w:t>
      </w:r>
      <w:r w:rsidR="00A02031">
        <w:t>202</w:t>
      </w:r>
      <w:r w:rsidR="00FA267D">
        <w:t>1</w:t>
      </w:r>
    </w:p>
    <w:p w14:paraId="1A6A835D" w14:textId="77777777" w:rsidR="00430B4B" w:rsidRDefault="00430B4B">
      <w:pPr>
        <w:rPr>
          <w:rFonts w:ascii="Times New Roman" w:eastAsia="Times New Roman" w:hAnsi="Times New Roman" w:cs="Times New Roman"/>
          <w:sz w:val="20"/>
          <w:szCs w:val="20"/>
        </w:rPr>
      </w:pPr>
    </w:p>
    <w:p w14:paraId="033E42F5" w14:textId="77777777" w:rsidR="00430B4B" w:rsidRDefault="00430B4B">
      <w:pPr>
        <w:rPr>
          <w:rFonts w:ascii="Times New Roman" w:eastAsia="Times New Roman" w:hAnsi="Times New Roman" w:cs="Times New Roman"/>
          <w:sz w:val="20"/>
          <w:szCs w:val="20"/>
        </w:rPr>
      </w:pPr>
    </w:p>
    <w:p w14:paraId="069B5F04" w14:textId="77777777" w:rsidR="00430B4B" w:rsidRDefault="00430B4B">
      <w:pPr>
        <w:rPr>
          <w:rFonts w:ascii="Times New Roman" w:eastAsia="Times New Roman" w:hAnsi="Times New Roman" w:cs="Times New Roman"/>
          <w:sz w:val="20"/>
          <w:szCs w:val="20"/>
        </w:rPr>
      </w:pPr>
    </w:p>
    <w:p w14:paraId="1198BDCD" w14:textId="77777777" w:rsidR="00430B4B" w:rsidRDefault="00430B4B">
      <w:pPr>
        <w:spacing w:before="4"/>
        <w:rPr>
          <w:rFonts w:ascii="Times New Roman" w:eastAsia="Times New Roman" w:hAnsi="Times New Roman" w:cs="Times New Roman"/>
          <w:sz w:val="21"/>
          <w:szCs w:val="21"/>
        </w:rPr>
      </w:pPr>
    </w:p>
    <w:p w14:paraId="2BB6256D" w14:textId="77777777" w:rsidR="00430B4B" w:rsidRDefault="00A02031">
      <w:pPr>
        <w:ind w:left="3155" w:right="3192"/>
        <w:jc w:val="center"/>
        <w:rPr>
          <w:rFonts w:ascii="Times New Roman" w:eastAsia="Times New Roman" w:hAnsi="Times New Roman" w:cs="Times New Roman"/>
          <w:sz w:val="18"/>
          <w:szCs w:val="18"/>
        </w:rPr>
      </w:pPr>
      <w:r>
        <w:rPr>
          <w:rFonts w:ascii="Times New Roman"/>
          <w:b/>
          <w:w w:val="120"/>
          <w:sz w:val="18"/>
        </w:rPr>
        <w:t>Abstract</w:t>
      </w:r>
    </w:p>
    <w:p w14:paraId="50E6B5B4" w14:textId="74BE18A7" w:rsidR="00ED3486" w:rsidRPr="00ED3486" w:rsidRDefault="006D3186" w:rsidP="00602C69">
      <w:pPr>
        <w:spacing w:before="97" w:line="220" w:lineRule="exact"/>
        <w:ind w:left="971" w:right="649" w:hanging="100"/>
        <w:rPr>
          <w:rFonts w:ascii="Times New Roman"/>
          <w:w w:val="120"/>
          <w:sz w:val="18"/>
        </w:rPr>
      </w:pPr>
      <w:r>
        <w:pict w14:anchorId="3B837707">
          <v:shapetype id="_x0000_t202" coordsize="21600,21600" o:spt="202" path="m,l,21600r21600,l21600,xe">
            <v:stroke joinstyle="miter"/>
            <v:path gradientshapeok="t" o:connecttype="rect"/>
          </v:shapetype>
          <v:shape id="_x0000_s1029" type="#_x0000_t202" alt="" style="position:absolute;left:0;text-align:left;margin-left:81.6pt;margin-top:6.6pt;width:13.05pt;height:22.6pt;z-index:-251660800;mso-wrap-style:square;mso-wrap-edited:f;mso-width-percent:0;mso-height-percent:0;mso-position-horizontal-relative:page;mso-width-percent:0;mso-height-percent:0;v-text-anchor:top" filled="f" stroked="f">
            <v:textbox style="mso-next-textbox:#_x0000_s1029" inset="0,0,0,0">
              <w:txbxContent>
                <w:p w14:paraId="4746B132" w14:textId="3F7BA8BA" w:rsidR="00430B4B" w:rsidRDefault="00602C69">
                  <w:pPr>
                    <w:spacing w:line="452" w:lineRule="exact"/>
                    <w:rPr>
                      <w:rFonts w:ascii="Times New Roman" w:eastAsia="Times New Roman" w:hAnsi="Times New Roman" w:cs="Times New Roman"/>
                      <w:sz w:val="45"/>
                      <w:szCs w:val="45"/>
                    </w:rPr>
                  </w:pPr>
                  <w:r>
                    <w:rPr>
                      <w:rFonts w:ascii="Times New Roman"/>
                      <w:w w:val="90"/>
                      <w:sz w:val="45"/>
                    </w:rPr>
                    <w:t>B</w:t>
                  </w:r>
                  <w:r w:rsidR="00A02031">
                    <w:rPr>
                      <w:rFonts w:ascii="Times New Roman"/>
                      <w:w w:val="90"/>
                      <w:sz w:val="45"/>
                    </w:rPr>
                    <w:t>L</w:t>
                  </w:r>
                </w:p>
              </w:txbxContent>
            </v:textbox>
            <w10:wrap anchorx="page"/>
          </v:shape>
        </w:pict>
      </w:r>
      <w:proofErr w:type="spellStart"/>
      <w:r w:rsidR="0052792C">
        <w:rPr>
          <w:rFonts w:ascii="Times New Roman"/>
          <w:w w:val="120"/>
          <w:sz w:val="18"/>
        </w:rPr>
        <w:t>inary</w:t>
      </w:r>
      <w:proofErr w:type="spellEnd"/>
      <w:r w:rsidR="0052792C">
        <w:rPr>
          <w:rFonts w:ascii="Times New Roman"/>
          <w:w w:val="120"/>
          <w:sz w:val="18"/>
        </w:rPr>
        <w:t xml:space="preserve"> cell fate decisions serve a</w:t>
      </w:r>
      <w:r w:rsidR="00E65777">
        <w:rPr>
          <w:rFonts w:ascii="Times New Roman"/>
          <w:w w:val="120"/>
          <w:sz w:val="18"/>
        </w:rPr>
        <w:t>t</w:t>
      </w:r>
      <w:r w:rsidR="0052792C">
        <w:rPr>
          <w:rFonts w:ascii="Times New Roman"/>
          <w:w w:val="120"/>
          <w:sz w:val="18"/>
        </w:rPr>
        <w:t xml:space="preserve"> a cornerstone of cellular decision</w:t>
      </w:r>
      <w:r w:rsidR="00EB1C75">
        <w:rPr>
          <w:rFonts w:ascii="Times New Roman"/>
          <w:w w:val="120"/>
          <w:sz w:val="18"/>
        </w:rPr>
        <w:t>-</w:t>
      </w:r>
      <w:r w:rsidR="0052792C">
        <w:rPr>
          <w:rFonts w:ascii="Times New Roman"/>
          <w:w w:val="120"/>
          <w:sz w:val="18"/>
        </w:rPr>
        <w:t xml:space="preserve">making processes during embryonic development. Understanding and studying these decisions </w:t>
      </w:r>
      <w:r w:rsidR="00F645BF">
        <w:rPr>
          <w:rFonts w:ascii="Times New Roman"/>
          <w:w w:val="120"/>
          <w:sz w:val="18"/>
        </w:rPr>
        <w:t>require an intimate knowledge of the spatial and temporal expression dynam</w:t>
      </w:r>
      <w:r w:rsidR="00EB1C75">
        <w:rPr>
          <w:rFonts w:ascii="Times New Roman"/>
          <w:w w:val="120"/>
          <w:sz w:val="18"/>
        </w:rPr>
        <w:t>i</w:t>
      </w:r>
      <w:r w:rsidR="00F645BF">
        <w:rPr>
          <w:rFonts w:ascii="Times New Roman"/>
          <w:w w:val="120"/>
          <w:sz w:val="18"/>
        </w:rPr>
        <w:t>cs</w:t>
      </w:r>
      <w:r w:rsidR="00EB1C75">
        <w:rPr>
          <w:rFonts w:ascii="Times New Roman"/>
          <w:w w:val="120"/>
          <w:sz w:val="18"/>
        </w:rPr>
        <w:t xml:space="preserve"> of </w:t>
      </w:r>
      <w:r w:rsidR="008B2C22">
        <w:rPr>
          <w:rFonts w:ascii="Times New Roman"/>
          <w:w w:val="120"/>
          <w:sz w:val="18"/>
        </w:rPr>
        <w:t>critical</w:t>
      </w:r>
      <w:r w:rsidR="00EB1C75">
        <w:rPr>
          <w:rFonts w:ascii="Times New Roman"/>
          <w:w w:val="120"/>
          <w:sz w:val="18"/>
        </w:rPr>
        <w:t xml:space="preserve"> genes. Split fluorescent proteins </w:t>
      </w:r>
      <w:r w:rsidR="00CB2DFC">
        <w:rPr>
          <w:rFonts w:ascii="Times New Roman"/>
          <w:w w:val="120"/>
          <w:sz w:val="18"/>
        </w:rPr>
        <w:t>(</w:t>
      </w:r>
      <w:proofErr w:type="spellStart"/>
      <w:r w:rsidR="00CB2DFC">
        <w:rPr>
          <w:rFonts w:ascii="Times New Roman"/>
          <w:w w:val="120"/>
          <w:sz w:val="18"/>
        </w:rPr>
        <w:t>sFP</w:t>
      </w:r>
      <w:proofErr w:type="spellEnd"/>
      <w:r w:rsidR="00CB2DFC">
        <w:rPr>
          <w:rFonts w:ascii="Times New Roman"/>
          <w:w w:val="120"/>
          <w:sz w:val="18"/>
        </w:rPr>
        <w:t>)</w:t>
      </w:r>
      <w:r w:rsidR="0005056F">
        <w:rPr>
          <w:rFonts w:ascii="Times New Roman"/>
          <w:w w:val="120"/>
          <w:sz w:val="18"/>
        </w:rPr>
        <w:t xml:space="preserve"> </w:t>
      </w:r>
      <w:r w:rsidR="00EB1C75">
        <w:rPr>
          <w:rFonts w:ascii="Times New Roman"/>
          <w:w w:val="120"/>
          <w:sz w:val="18"/>
        </w:rPr>
        <w:t xml:space="preserve">can serve as a </w:t>
      </w:r>
      <w:r w:rsidR="00E65777">
        <w:rPr>
          <w:rFonts w:ascii="Times New Roman"/>
          <w:w w:val="120"/>
          <w:sz w:val="18"/>
        </w:rPr>
        <w:t xml:space="preserve">novel </w:t>
      </w:r>
      <w:r w:rsidR="00EB1C75">
        <w:rPr>
          <w:rFonts w:ascii="Times New Roman"/>
          <w:w w:val="120"/>
          <w:sz w:val="18"/>
        </w:rPr>
        <w:t xml:space="preserve">tool to study these binary cell fate </w:t>
      </w:r>
      <w:r w:rsidR="00E355AE">
        <w:rPr>
          <w:rFonts w:ascii="Times New Roman"/>
          <w:w w:val="120"/>
          <w:sz w:val="18"/>
        </w:rPr>
        <w:t>decisions</w:t>
      </w:r>
      <w:r w:rsidR="008B2C22">
        <w:rPr>
          <w:rFonts w:ascii="Times New Roman"/>
          <w:w w:val="120"/>
          <w:sz w:val="18"/>
        </w:rPr>
        <w:t xml:space="preserve">, with unique applications such as the potential to amplify weak </w:t>
      </w:r>
      <w:r w:rsidR="003D4F3D">
        <w:rPr>
          <w:rFonts w:ascii="Times New Roman"/>
          <w:w w:val="120"/>
          <w:sz w:val="18"/>
        </w:rPr>
        <w:t>genetic</w:t>
      </w:r>
      <w:r w:rsidR="008B2C22">
        <w:rPr>
          <w:rFonts w:ascii="Times New Roman"/>
          <w:w w:val="120"/>
          <w:sz w:val="18"/>
        </w:rPr>
        <w:t xml:space="preserve"> signal</w:t>
      </w:r>
      <w:r w:rsidR="00602418">
        <w:rPr>
          <w:rFonts w:ascii="Times New Roman"/>
          <w:w w:val="120"/>
          <w:sz w:val="18"/>
        </w:rPr>
        <w:t>s</w:t>
      </w:r>
      <w:r w:rsidR="00ED3486">
        <w:rPr>
          <w:rFonts w:ascii="Times New Roman"/>
          <w:w w:val="120"/>
          <w:sz w:val="18"/>
        </w:rPr>
        <w:t xml:space="preserve">. Ultimately, </w:t>
      </w:r>
      <w:proofErr w:type="spellStart"/>
      <w:r w:rsidR="00ED3486">
        <w:rPr>
          <w:rFonts w:ascii="Times New Roman"/>
          <w:w w:val="120"/>
          <w:sz w:val="18"/>
        </w:rPr>
        <w:t>sFPs</w:t>
      </w:r>
      <w:proofErr w:type="spellEnd"/>
      <w:r w:rsidR="00ED3486">
        <w:rPr>
          <w:rFonts w:ascii="Times New Roman"/>
          <w:w w:val="120"/>
          <w:sz w:val="18"/>
        </w:rPr>
        <w:t xml:space="preserve"> can be utilized to revolutionize the study of </w:t>
      </w:r>
      <w:r w:rsidR="00ED3486" w:rsidRPr="00ED3486">
        <w:rPr>
          <w:rFonts w:ascii="Times New Roman"/>
          <w:w w:val="120"/>
          <w:sz w:val="18"/>
        </w:rPr>
        <w:t>protein</w:t>
      </w:r>
      <w:r w:rsidR="00602418">
        <w:rPr>
          <w:rFonts w:ascii="Times New Roman"/>
          <w:w w:val="120"/>
          <w:sz w:val="18"/>
        </w:rPr>
        <w:t>-</w:t>
      </w:r>
      <w:r w:rsidR="00ED3486" w:rsidRPr="00ED3486">
        <w:rPr>
          <w:rFonts w:ascii="Times New Roman"/>
          <w:w w:val="120"/>
          <w:sz w:val="18"/>
        </w:rPr>
        <w:t>protein interactions</w:t>
      </w:r>
      <w:r w:rsidR="00A407F3">
        <w:rPr>
          <w:rFonts w:ascii="Times New Roman"/>
          <w:w w:val="120"/>
          <w:sz w:val="18"/>
        </w:rPr>
        <w:t xml:space="preserve"> during embryonic development and beyond.</w:t>
      </w:r>
    </w:p>
    <w:p w14:paraId="3DD5985A" w14:textId="77777777" w:rsidR="00ED3486" w:rsidRPr="00ED3486" w:rsidRDefault="00ED3486" w:rsidP="00ED3486">
      <w:pPr>
        <w:spacing w:before="97" w:line="220" w:lineRule="exact"/>
        <w:ind w:left="971" w:right="649" w:hanging="100"/>
        <w:rPr>
          <w:rFonts w:ascii="Times New Roman"/>
          <w:w w:val="120"/>
          <w:sz w:val="18"/>
        </w:rPr>
      </w:pPr>
    </w:p>
    <w:p w14:paraId="2C56AC2B" w14:textId="77777777" w:rsidR="00430B4B" w:rsidRDefault="00430B4B">
      <w:pPr>
        <w:spacing w:before="1"/>
        <w:rPr>
          <w:rFonts w:ascii="Adobe Devanagari" w:eastAsia="Adobe Devanagari" w:hAnsi="Adobe Devanagari" w:cs="Adobe Devanagari"/>
          <w:sz w:val="26"/>
          <w:szCs w:val="26"/>
        </w:rPr>
      </w:pPr>
    </w:p>
    <w:p w14:paraId="1417B25F" w14:textId="20597585" w:rsidR="00430B4B" w:rsidRDefault="00FA267D">
      <w:pPr>
        <w:pStyle w:val="Heading1"/>
        <w:numPr>
          <w:ilvl w:val="0"/>
          <w:numId w:val="2"/>
        </w:numPr>
        <w:tabs>
          <w:tab w:val="left" w:pos="598"/>
        </w:tabs>
        <w:spacing w:before="0"/>
        <w:jc w:val="both"/>
        <w:rPr>
          <w:b w:val="0"/>
          <w:bCs w:val="0"/>
        </w:rPr>
      </w:pPr>
      <w:bookmarkStart w:id="0" w:name="Introduction"/>
      <w:bookmarkEnd w:id="0"/>
      <w:r>
        <w:rPr>
          <w:spacing w:val="-1"/>
          <w:w w:val="115"/>
        </w:rPr>
        <w:t>Binary Cell Fate Decisions</w:t>
      </w:r>
    </w:p>
    <w:p w14:paraId="1A28C7C6" w14:textId="52AF3F91" w:rsidR="00AC1853" w:rsidRDefault="00906599" w:rsidP="00AC1853">
      <w:pPr>
        <w:spacing w:before="3"/>
        <w:ind w:left="90"/>
        <w:rPr>
          <w:rFonts w:ascii="Times New Roman" w:eastAsia="Times New Roman" w:hAnsi="Times New Roman"/>
          <w:w w:val="105"/>
          <w:sz w:val="24"/>
          <w:szCs w:val="24"/>
        </w:rPr>
      </w:pPr>
      <w:r w:rsidRPr="00BF74D5">
        <w:rPr>
          <w:rFonts w:ascii="Times New Roman" w:eastAsia="Times New Roman" w:hAnsi="Times New Roman"/>
          <w:w w:val="105"/>
          <w:sz w:val="24"/>
          <w:szCs w:val="24"/>
        </w:rPr>
        <w:t xml:space="preserve">During embryonic development, pluripotent stem cells are exposed to a variety of cellular signals that influence their cell fate. Arnold and Robertson demonstrated that cells undergo binary lineage decisions regulated by the activity of critical signaling pathways (Arnold and Robertson, 2009). The first binary cell fate decision pluripotent stem cells undergo is their specification into either the trophectoderm (TE) or the inner cell mass (ICM). This fate decision is determined by the selective expression of caudal-type homeobox protein 2 (CDX2) in the TE or </w:t>
      </w:r>
      <w:proofErr w:type="spellStart"/>
      <w:r w:rsidRPr="00BF74D5">
        <w:rPr>
          <w:rFonts w:ascii="Times New Roman" w:eastAsia="Times New Roman" w:hAnsi="Times New Roman"/>
          <w:w w:val="105"/>
          <w:sz w:val="24"/>
          <w:szCs w:val="24"/>
        </w:rPr>
        <w:t>octamere</w:t>
      </w:r>
      <w:proofErr w:type="spellEnd"/>
      <w:r w:rsidRPr="00BF74D5">
        <w:rPr>
          <w:rFonts w:ascii="Times New Roman" w:eastAsia="Times New Roman" w:hAnsi="Times New Roman"/>
          <w:w w:val="105"/>
          <w:sz w:val="24"/>
          <w:szCs w:val="24"/>
        </w:rPr>
        <w:t>-binding transcription factor 3/4 (OCT3/4) in the ICM. Cells in the ICM are then exposed to further genetic signals that specify either primitive endoderm or epiblast by expression of GATA-binding factor 6 (GATA6) and Nanog</w:t>
      </w:r>
      <w:r w:rsidR="005006F1">
        <w:rPr>
          <w:rFonts w:ascii="Times New Roman" w:eastAsia="Times New Roman" w:hAnsi="Times New Roman"/>
          <w:w w:val="105"/>
          <w:sz w:val="24"/>
          <w:szCs w:val="24"/>
        </w:rPr>
        <w:t xml:space="preserve"> </w:t>
      </w:r>
      <w:r w:rsidR="005006F1">
        <w:rPr>
          <w:rFonts w:ascii="Times New Roman" w:eastAsia="Times New Roman" w:hAnsi="Times New Roman"/>
          <w:w w:val="105"/>
          <w:sz w:val="24"/>
          <w:szCs w:val="24"/>
        </w:rPr>
        <w:fldChar w:fldCharType="begin"/>
      </w:r>
      <w:r w:rsidR="005006F1">
        <w:rPr>
          <w:rFonts w:ascii="Times New Roman" w:eastAsia="Times New Roman" w:hAnsi="Times New Roman"/>
          <w:w w:val="105"/>
          <w:sz w:val="24"/>
          <w:szCs w:val="24"/>
        </w:rPr>
        <w:instrText xml:space="preserve"> ADDIN ZOTERO_ITEM CSL_CITATION {"citationID":"QPcRu2PY","properties":{"formattedCitation":"(Arnold &amp; Robertson, 2009)","plainCitation":"(Arnold &amp; Robertson, 2009)","noteIndex":0},"citationItems":[{"id":866,"uris":["http://zotero.org/users/local/TF2zpDmr/items/32SR7DC6"],"uri":["http://zotero.org/users/local/TF2zpDmr/items/32SR7DC6"],"itemData":{"id":866,"type":"article-journal","abstract":"Genetic studies combined within vivoimaging analysis have identified signalling pathways and developmentally regulated transcription factors that govern cell lineage allocation and axis patterning in the early mammalian embryo. These mechanisms are also conserved in lower vertebrates.","container-title":"Nature Reviews Molecular Cell Biology","DOI":"10.1038/nrm2618","ISSN":"1471-0080","issue":"2","language":"en","page":"91-103","source":"www.nature.com","title":"Making a commitment: cell lineage allocation and axis patterning in the early mouse embryo","title-short":"Making a commitment","volume":"10","author":[{"family":"Arnold","given":"Sebastian J."},{"family":"Robertson","given":"Elizabeth J."}],"issued":{"date-parts":[["2009",2]]}}}],"schema":"https://github.com/citation-style-language/schema/raw/master/csl-citation.json"} </w:instrText>
      </w:r>
      <w:r w:rsidR="005006F1">
        <w:rPr>
          <w:rFonts w:ascii="Times New Roman" w:eastAsia="Times New Roman" w:hAnsi="Times New Roman"/>
          <w:w w:val="105"/>
          <w:sz w:val="24"/>
          <w:szCs w:val="24"/>
        </w:rPr>
        <w:fldChar w:fldCharType="separate"/>
      </w:r>
      <w:r w:rsidR="005006F1" w:rsidRPr="005006F1">
        <w:rPr>
          <w:rFonts w:ascii="Times New Roman" w:hAnsi="Times New Roman" w:cs="Times New Roman"/>
          <w:sz w:val="24"/>
        </w:rPr>
        <w:t>(Arnold &amp; Robertson, 2009)</w:t>
      </w:r>
      <w:r w:rsidR="005006F1">
        <w:rPr>
          <w:rFonts w:ascii="Times New Roman" w:eastAsia="Times New Roman" w:hAnsi="Times New Roman"/>
          <w:w w:val="105"/>
          <w:sz w:val="24"/>
          <w:szCs w:val="24"/>
        </w:rPr>
        <w:fldChar w:fldCharType="end"/>
      </w:r>
      <w:r w:rsidRPr="00BF74D5">
        <w:rPr>
          <w:rFonts w:ascii="Times New Roman" w:eastAsia="Times New Roman" w:hAnsi="Times New Roman"/>
          <w:w w:val="105"/>
          <w:sz w:val="24"/>
          <w:szCs w:val="24"/>
        </w:rPr>
        <w:t>. As embryonic development progresses, these cells continue to make binary cell fate decisions</w:t>
      </w:r>
      <w:r w:rsidR="00AC1853">
        <w:rPr>
          <w:rFonts w:ascii="Times New Roman" w:eastAsia="Times New Roman" w:hAnsi="Times New Roman"/>
          <w:w w:val="105"/>
          <w:sz w:val="24"/>
          <w:szCs w:val="24"/>
        </w:rPr>
        <w:t>.</w:t>
      </w:r>
    </w:p>
    <w:p w14:paraId="7F6E3989" w14:textId="42A24597" w:rsidR="00AC1853" w:rsidRDefault="00AC1853" w:rsidP="00AC1853">
      <w:pPr>
        <w:spacing w:before="3"/>
        <w:ind w:left="90"/>
        <w:rPr>
          <w:rFonts w:ascii="Times New Roman" w:eastAsia="Times New Roman" w:hAnsi="Times New Roman"/>
          <w:w w:val="105"/>
          <w:sz w:val="24"/>
          <w:szCs w:val="24"/>
        </w:rPr>
      </w:pPr>
    </w:p>
    <w:p w14:paraId="66547F67" w14:textId="50DE1723" w:rsidR="00AC1853" w:rsidRDefault="00AC1853" w:rsidP="00AC1853">
      <w:pPr>
        <w:spacing w:before="3"/>
        <w:ind w:left="90"/>
        <w:rPr>
          <w:rFonts w:ascii="Times New Roman" w:eastAsia="Times New Roman" w:hAnsi="Times New Roman"/>
          <w:w w:val="105"/>
          <w:sz w:val="24"/>
          <w:szCs w:val="24"/>
        </w:rPr>
      </w:pPr>
      <w:r w:rsidRPr="00AC1853">
        <w:rPr>
          <w:rFonts w:ascii="Times New Roman" w:eastAsia="Times New Roman" w:hAnsi="Times New Roman"/>
          <w:w w:val="105"/>
          <w:sz w:val="24"/>
          <w:szCs w:val="24"/>
        </w:rPr>
        <w:t xml:space="preserve">Various studies have relied on single-cell sequencing to identify critical genes associated with cell patterning and axis specification during embryonic development </w:t>
      </w:r>
      <w:r w:rsidR="005006F1">
        <w:rPr>
          <w:rFonts w:ascii="Times New Roman" w:eastAsia="Times New Roman" w:hAnsi="Times New Roman"/>
          <w:w w:val="105"/>
          <w:sz w:val="24"/>
          <w:szCs w:val="24"/>
        </w:rPr>
        <w:fldChar w:fldCharType="begin"/>
      </w:r>
      <w:r w:rsidR="005006F1">
        <w:rPr>
          <w:rFonts w:ascii="Times New Roman" w:eastAsia="Times New Roman" w:hAnsi="Times New Roman"/>
          <w:w w:val="105"/>
          <w:sz w:val="24"/>
          <w:szCs w:val="24"/>
        </w:rPr>
        <w:instrText xml:space="preserve"> ADDIN ZOTERO_ITEM CSL_CITATION {"citationID":"KfbufJJ0","properties":{"formattedCitation":"(Arnold &amp; Robertson, 2009; Jang et al., 2017; Thomson et al., 2011; Yiangou et al., 2019)","plainCitation":"(Arnold &amp; Robertson, 2009; Jang et al., 2017; Thomson et al., 2011; Yiangou et al., 2019)","noteIndex":0},"citationItems":[{"id":866,"uris":["http://zotero.org/users/local/TF2zpDmr/items/32SR7DC6"],"uri":["http://zotero.org/users/local/TF2zpDmr/items/32SR7DC6"],"itemData":{"id":866,"type":"article-journal","abstract":"Genetic studies combined within vivoimaging analysis have identified signalling pathways and developmentally regulated transcription factors that govern cell lineage allocation and axis patterning in the early mammalian embryo. These mechanisms are also conserved in lower vertebrates.","container-title":"Nature Reviews Molecular Cell Biology","DOI":"10.1038/nrm2618","ISSN":"1471-0080","issue":"2","language":"en","page":"91-103","source":"www.nature.com","title":"Making a commitment: cell lineage allocation and axis patterning in the early mouse embryo","title-short":"Making a commitment","volume":"10","author":[{"family":"Arnold","given":"Sebastian J."},{"family":"Robertson","given":"Elizabeth J."}],"issued":{"date-parts":[["2009",2]]}}},{"id":916,"uris":["http://zotero.org/users/local/TF2zpDmr/items/MDIZ6FSA"],"uri":["http://zotero.org/users/local/TF2zpDmr/items/MDIZ6FSA"],"itemData":{"id":916,"type":"article-journal","abstract":"The complexity of gene regulatory networks that lead multipotent cells to acquire different cell fates makes a quantitative understanding of differentiation challenging. Using a statistical framework to analyze single-cell transcriptomics data, we infer the gene expression dynamics of early mouse embryonic stem (mES) cell differentiation, uncovering discrete transitions across nine cell states. We validate the predicted transitions across discrete states using flow cytometry. Moreover, using live-cell microscopy, we show that individual cells undergo abrupt transitions from a naïve to primed pluripotent state. Using the inferred discrete cell states to build a probabilistic model for the underlying gene regulatory network, we further predict and experimentally verify that these states have unique response to perturbations, thus defining them functionally. Our study provides a framework to infer the dynamics of differentiation from single cell transcriptomics data and to build predictive models of the gene regulatory networks that drive the sequence of cell fate decisions during development.","container-title":"eLife","DOI":"10.7554/eLife.20487","ISSN":"2050-084X","page":"e20487","source":"eLife","title":"Dynamics of embryonic stem cell differentiation inferred from single-cell transcriptomics show a series of transitions through discrete cell states","volume":"6","author":[{"family":"Jang","given":"Sumin"},{"family":"Choubey","given":"Sandeep"},{"family":"Furchtgott","given":"Leon"},{"family":"Zou","given":"Ling-Nan"},{"family":"Doyle","given":"Adele"},{"family":"Menon","given":"Vilas"},{"family":"Loew","given":"Ethan B"},{"family":"Krostag","given":"Anne-Rachel"},{"family":"Martinez","given":"Refugio A"},{"family":"Madisen","given":"Linda"},{"family":"Levi","given":"Boaz P"},{"family":"Ramanathan","given":"Sharad"}],"editor":[{"family":"Yosef","given":"Nir"}],"issued":{"date-parts":[["2017",3,15]]}}},{"id":865,"uris":["http://zotero.org/users/local/TF2zpDmr/items/7EVBCIH9"],"uri":["http://zotero.org/users/local/TF2zpDmr/items/7EVBCIH9"],"itemData":{"id":865,"type":"article-journal","container-title":"Cell","DOI":"10.1016/j.cell.2011.05.017","ISSN":"0092-8674, 1097-4172","issue":"6","journalAbbreviation":"Cell","language":"English","note":"PMID: 21663792","page":"875-889","source":"www.cell.com","title":"Pluripotency Factors in Embryonic Stem Cells Regulate Differentiation into Germ Layers","volume":"145","author":[{"family":"Thomson","given":"Matt"},{"family":"Liu","given":"Siyuan John"},{"family":"Zou","given":"Ling-Nan"},{"family":"Smith","given":"Zack"},{"family":"Meissner","given":"Alexander"},{"family":"Ramanathan","given":"Sharad"}],"issued":{"date-parts":[["2011",6,10]]}}},{"id":879,"uris":["http://zotero.org/users/local/TF2zpDmr/items/2K7JYWSQ"],"uri":["http://zotero.org/users/local/TF2zpDmr/items/2K7JYWSQ"],"itemData":{"id":879,"type":"article-journal","container-title":"Journal of Biological Chemistry","DOI":"10.1074/jbc.RA119.008251","ISSN":"0021-9258, 1083-351X","issue":"47","journalAbbreviation":"J. Biol. Chem.","language":"en","page":"17903-17914","source":"DOI.org (Crossref)","title":"Cell cycle regulators control mesoderm specification in human pluripotent stem cells","volume":"294","author":[{"family":"Yiangou","given":"Loukia"},{"family":"Grandy","given":"Rodrigo A."},{"family":"Osnato","given":"Anna"},{"family":"Ortmann","given":"Daniel"},{"family":"Sinha","given":"Sanjay"},{"family":"Vallier","given":"Ludovic"}],"issued":{"date-parts":[["2019",11,22]]}}}],"schema":"https://github.com/citation-style-language/schema/raw/master/csl-citation.json"} </w:instrText>
      </w:r>
      <w:r w:rsidR="005006F1">
        <w:rPr>
          <w:rFonts w:ascii="Times New Roman" w:eastAsia="Times New Roman" w:hAnsi="Times New Roman"/>
          <w:w w:val="105"/>
          <w:sz w:val="24"/>
          <w:szCs w:val="24"/>
        </w:rPr>
        <w:fldChar w:fldCharType="separate"/>
      </w:r>
      <w:r w:rsidR="005006F1" w:rsidRPr="005006F1">
        <w:rPr>
          <w:rFonts w:ascii="Times New Roman" w:hAnsi="Times New Roman" w:cs="Times New Roman"/>
          <w:sz w:val="24"/>
        </w:rPr>
        <w:t xml:space="preserve">(Arnold &amp; Robertson, 2009; Jang et al., 2017; Thomson et al., 2011; </w:t>
      </w:r>
      <w:proofErr w:type="spellStart"/>
      <w:r w:rsidR="005006F1" w:rsidRPr="005006F1">
        <w:rPr>
          <w:rFonts w:ascii="Times New Roman" w:hAnsi="Times New Roman" w:cs="Times New Roman"/>
          <w:sz w:val="24"/>
        </w:rPr>
        <w:t>Yiangou</w:t>
      </w:r>
      <w:proofErr w:type="spellEnd"/>
      <w:r w:rsidR="005006F1" w:rsidRPr="005006F1">
        <w:rPr>
          <w:rFonts w:ascii="Times New Roman" w:hAnsi="Times New Roman" w:cs="Times New Roman"/>
          <w:sz w:val="24"/>
        </w:rPr>
        <w:t xml:space="preserve"> et al., 2019)</w:t>
      </w:r>
      <w:r w:rsidR="005006F1">
        <w:rPr>
          <w:rFonts w:ascii="Times New Roman" w:eastAsia="Times New Roman" w:hAnsi="Times New Roman"/>
          <w:w w:val="105"/>
          <w:sz w:val="24"/>
          <w:szCs w:val="24"/>
        </w:rPr>
        <w:fldChar w:fldCharType="end"/>
      </w:r>
      <w:r w:rsidRPr="00AC1853">
        <w:rPr>
          <w:rFonts w:ascii="Times New Roman" w:eastAsia="Times New Roman" w:hAnsi="Times New Roman"/>
          <w:w w:val="105"/>
          <w:sz w:val="24"/>
          <w:szCs w:val="24"/>
        </w:rPr>
        <w:t xml:space="preserve">. </w:t>
      </w:r>
      <w:r w:rsidR="005006F1" w:rsidRPr="005006F1">
        <w:rPr>
          <w:rFonts w:ascii="Times New Roman" w:eastAsia="Times New Roman" w:hAnsi="Times New Roman"/>
          <w:w w:val="105"/>
          <w:sz w:val="24"/>
          <w:szCs w:val="24"/>
        </w:rPr>
        <w:t>While these studies have elucidated potential genetic targets important for early embryonic development, these data function on the assumption that we can make conclusions about gene expression dynamics based o</w:t>
      </w:r>
      <w:r w:rsidR="005B1E5D">
        <w:rPr>
          <w:rFonts w:ascii="Times New Roman" w:eastAsia="Times New Roman" w:hAnsi="Times New Roman"/>
          <w:w w:val="105"/>
          <w:sz w:val="24"/>
          <w:szCs w:val="24"/>
        </w:rPr>
        <w:t>n</w:t>
      </w:r>
      <w:r w:rsidR="005006F1" w:rsidRPr="005006F1">
        <w:rPr>
          <w:rFonts w:ascii="Times New Roman" w:eastAsia="Times New Roman" w:hAnsi="Times New Roman"/>
          <w:w w:val="105"/>
          <w:sz w:val="24"/>
          <w:szCs w:val="24"/>
        </w:rPr>
        <w:t xml:space="preserve"> the genetic expression of fixed cells and apply them to live cell cultures undergoing similar cell fate transitions </w:t>
      </w:r>
      <w:r w:rsidR="005006F1" w:rsidRPr="005B1E5D">
        <w:rPr>
          <w:rFonts w:ascii="Times New Roman" w:eastAsia="Times New Roman" w:hAnsi="Times New Roman"/>
          <w:i/>
          <w:iCs/>
          <w:w w:val="105"/>
          <w:sz w:val="24"/>
          <w:szCs w:val="24"/>
        </w:rPr>
        <w:t>in vitro</w:t>
      </w:r>
      <w:r w:rsidR="005006F1" w:rsidRPr="005006F1">
        <w:rPr>
          <w:rFonts w:ascii="Times New Roman" w:eastAsia="Times New Roman" w:hAnsi="Times New Roman"/>
          <w:w w:val="105"/>
          <w:sz w:val="24"/>
          <w:szCs w:val="24"/>
        </w:rPr>
        <w:t xml:space="preserve"> </w:t>
      </w:r>
      <w:r w:rsidR="005006F1">
        <w:rPr>
          <w:rFonts w:ascii="Times New Roman" w:eastAsia="Times New Roman" w:hAnsi="Times New Roman"/>
          <w:w w:val="105"/>
          <w:sz w:val="24"/>
          <w:szCs w:val="24"/>
        </w:rPr>
        <w:fldChar w:fldCharType="begin"/>
      </w:r>
      <w:r w:rsidR="005006F1">
        <w:rPr>
          <w:rFonts w:ascii="Times New Roman" w:eastAsia="Times New Roman" w:hAnsi="Times New Roman"/>
          <w:w w:val="105"/>
          <w:sz w:val="24"/>
          <w:szCs w:val="24"/>
        </w:rPr>
        <w:instrText xml:space="preserve"> ADDIN ZOTERO_ITEM CSL_CITATION {"citationID":"t465DWlO","properties":{"formattedCitation":"(Jang et al., 2017)","plainCitation":"(Jang et al., 2017)","noteIndex":0},"citationItems":[{"id":916,"uris":["http://zotero.org/users/local/TF2zpDmr/items/MDIZ6FSA"],"uri":["http://zotero.org/users/local/TF2zpDmr/items/MDIZ6FSA"],"itemData":{"id":916,"type":"article-journal","abstract":"The complexity of gene regulatory networks that lead multipotent cells to acquire different cell fates makes a quantitative understanding of differentiation challenging. Using a statistical framework to analyze single-cell transcriptomics data, we infer the gene expression dynamics of early mouse embryonic stem (mES) cell differentiation, uncovering discrete transitions across nine cell states. We validate the predicted transitions across discrete states using flow cytometry. Moreover, using live-cell microscopy, we show that individual cells undergo abrupt transitions from a naïve to primed pluripotent state. Using the inferred discrete cell states to build a probabilistic model for the underlying gene regulatory network, we further predict and experimentally verify that these states have unique response to perturbations, thus defining them functionally. Our study provides a framework to infer the dynamics of differentiation from single cell transcriptomics data and to build predictive models of the gene regulatory networks that drive the sequence of cell fate decisions during development.","container-title":"eLife","DOI":"10.7554/eLife.20487","ISSN":"2050-084X","page":"e20487","source":"eLife","title":"Dynamics of embryonic stem cell differentiation inferred from single-cell transcriptomics show a series of transitions through discrete cell states","volume":"6","author":[{"family":"Jang","given":"Sumin"},{"family":"Choubey","given":"Sandeep"},{"family":"Furchtgott","given":"Leon"},{"family":"Zou","given":"Ling-Nan"},{"family":"Doyle","given":"Adele"},{"family":"Menon","given":"Vilas"},{"family":"Loew","given":"Ethan B"},{"family":"Krostag","given":"Anne-Rachel"},{"family":"Martinez","given":"Refugio A"},{"family":"Madisen","given":"Linda"},{"family":"Levi","given":"Boaz P"},{"family":"Ramanathan","given":"Sharad"}],"editor":[{"family":"Yosef","given":"Nir"}],"issued":{"date-parts":[["2017",3,15]]}}}],"schema":"https://github.com/citation-style-language/schema/raw/master/csl-citation.json"} </w:instrText>
      </w:r>
      <w:r w:rsidR="005006F1">
        <w:rPr>
          <w:rFonts w:ascii="Times New Roman" w:eastAsia="Times New Roman" w:hAnsi="Times New Roman"/>
          <w:w w:val="105"/>
          <w:sz w:val="24"/>
          <w:szCs w:val="24"/>
        </w:rPr>
        <w:fldChar w:fldCharType="separate"/>
      </w:r>
      <w:r w:rsidR="005006F1" w:rsidRPr="005006F1">
        <w:rPr>
          <w:rFonts w:ascii="Times New Roman" w:hAnsi="Times New Roman" w:cs="Times New Roman"/>
          <w:sz w:val="24"/>
        </w:rPr>
        <w:t>(Jang et al., 2017)</w:t>
      </w:r>
      <w:r w:rsidR="005006F1">
        <w:rPr>
          <w:rFonts w:ascii="Times New Roman" w:eastAsia="Times New Roman" w:hAnsi="Times New Roman"/>
          <w:w w:val="105"/>
          <w:sz w:val="24"/>
          <w:szCs w:val="24"/>
        </w:rPr>
        <w:fldChar w:fldCharType="end"/>
      </w:r>
      <w:r w:rsidR="005006F1" w:rsidRPr="005006F1">
        <w:rPr>
          <w:rFonts w:ascii="Times New Roman" w:eastAsia="Times New Roman" w:hAnsi="Times New Roman"/>
          <w:w w:val="105"/>
          <w:sz w:val="24"/>
          <w:szCs w:val="24"/>
        </w:rPr>
        <w:t>.</w:t>
      </w:r>
      <w:r w:rsidRPr="00AC1853">
        <w:rPr>
          <w:rFonts w:ascii="Times New Roman" w:eastAsia="Times New Roman" w:hAnsi="Times New Roman"/>
          <w:w w:val="105"/>
          <w:sz w:val="24"/>
          <w:szCs w:val="24"/>
        </w:rPr>
        <w:t xml:space="preserve"> </w:t>
      </w:r>
      <w:r w:rsidR="005006F1" w:rsidRPr="005006F1">
        <w:rPr>
          <w:rFonts w:ascii="Times New Roman" w:eastAsia="Times New Roman" w:hAnsi="Times New Roman"/>
          <w:w w:val="105"/>
          <w:sz w:val="24"/>
          <w:szCs w:val="24"/>
        </w:rPr>
        <w:t xml:space="preserve">It is </w:t>
      </w:r>
      <w:r w:rsidR="006C22D1">
        <w:rPr>
          <w:rFonts w:ascii="Times New Roman" w:eastAsia="Times New Roman" w:hAnsi="Times New Roman"/>
          <w:w w:val="105"/>
          <w:sz w:val="24"/>
          <w:szCs w:val="24"/>
        </w:rPr>
        <w:t>challenging</w:t>
      </w:r>
      <w:r w:rsidR="005006F1" w:rsidRPr="005006F1">
        <w:rPr>
          <w:rFonts w:ascii="Times New Roman" w:eastAsia="Times New Roman" w:hAnsi="Times New Roman"/>
          <w:w w:val="105"/>
          <w:sz w:val="24"/>
          <w:szCs w:val="24"/>
        </w:rPr>
        <w:t xml:space="preserve"> to track cell fate decisions and investigate how the </w:t>
      </w:r>
      <w:r w:rsidR="005006F1" w:rsidRPr="006C22D1">
        <w:rPr>
          <w:rFonts w:ascii="Times New Roman" w:eastAsia="Times New Roman" w:hAnsi="Times New Roman"/>
          <w:i/>
          <w:iCs/>
          <w:w w:val="105"/>
          <w:sz w:val="24"/>
          <w:szCs w:val="24"/>
        </w:rPr>
        <w:t>in vitro</w:t>
      </w:r>
      <w:r w:rsidR="005006F1" w:rsidRPr="005006F1">
        <w:rPr>
          <w:rFonts w:ascii="Times New Roman" w:eastAsia="Times New Roman" w:hAnsi="Times New Roman"/>
          <w:w w:val="105"/>
          <w:sz w:val="24"/>
          <w:szCs w:val="24"/>
        </w:rPr>
        <w:t xml:space="preserve"> environment</w:t>
      </w:r>
      <w:r w:rsidR="005B1E5D">
        <w:rPr>
          <w:rFonts w:ascii="Times New Roman" w:eastAsia="Times New Roman" w:hAnsi="Times New Roman"/>
          <w:w w:val="105"/>
          <w:sz w:val="24"/>
          <w:szCs w:val="24"/>
        </w:rPr>
        <w:t xml:space="preserve"> and the spatial and temporal expression of relevant genes</w:t>
      </w:r>
      <w:r w:rsidR="005006F1" w:rsidRPr="005006F1">
        <w:rPr>
          <w:rFonts w:ascii="Times New Roman" w:eastAsia="Times New Roman" w:hAnsi="Times New Roman"/>
          <w:w w:val="105"/>
          <w:sz w:val="24"/>
          <w:szCs w:val="24"/>
        </w:rPr>
        <w:t xml:space="preserve"> influence cell fate decisions in real-time (Thomson et al., 2011). Therefore, there is a need to develop an effective method to track live cells to understand how genes identified through single-cell sequencing are spatially and temporally expressed in a network of cells.</w:t>
      </w:r>
    </w:p>
    <w:p w14:paraId="58753E84" w14:textId="24EC36B4" w:rsidR="00C94057" w:rsidRDefault="00C94057" w:rsidP="00AC1853">
      <w:pPr>
        <w:spacing w:before="3"/>
        <w:ind w:left="90"/>
        <w:rPr>
          <w:rFonts w:ascii="Times New Roman" w:eastAsia="Times New Roman" w:hAnsi="Times New Roman"/>
          <w:w w:val="105"/>
          <w:sz w:val="24"/>
          <w:szCs w:val="24"/>
        </w:rPr>
      </w:pPr>
    </w:p>
    <w:p w14:paraId="5C501FDD" w14:textId="1A68EC89" w:rsidR="00430B4B" w:rsidRPr="00FA267D" w:rsidRDefault="00C94057" w:rsidP="00FA267D">
      <w:pPr>
        <w:spacing w:before="3"/>
        <w:ind w:left="90"/>
        <w:rPr>
          <w:rFonts w:ascii="Times New Roman" w:eastAsia="Times New Roman" w:hAnsi="Times New Roman"/>
          <w:w w:val="105"/>
          <w:sz w:val="24"/>
          <w:szCs w:val="24"/>
        </w:rPr>
      </w:pPr>
      <w:r w:rsidRPr="00C94057">
        <w:rPr>
          <w:rFonts w:ascii="Times New Roman" w:eastAsia="Times New Roman" w:hAnsi="Times New Roman"/>
          <w:w w:val="105"/>
          <w:sz w:val="24"/>
          <w:szCs w:val="24"/>
        </w:rPr>
        <w:t xml:space="preserve">Specifically, </w:t>
      </w:r>
      <w:r>
        <w:rPr>
          <w:rFonts w:ascii="Times New Roman" w:eastAsia="Times New Roman" w:hAnsi="Times New Roman"/>
          <w:w w:val="105"/>
          <w:sz w:val="24"/>
          <w:szCs w:val="24"/>
        </w:rPr>
        <w:t xml:space="preserve">it can be interesting to study </w:t>
      </w:r>
      <w:r w:rsidRPr="00C94057">
        <w:rPr>
          <w:rFonts w:ascii="Times New Roman" w:eastAsia="Times New Roman" w:hAnsi="Times New Roman"/>
          <w:w w:val="105"/>
          <w:sz w:val="24"/>
          <w:szCs w:val="24"/>
        </w:rPr>
        <w:t>the temporal and spatial role of transcription factors in binary cell fate decisions specifying</w:t>
      </w:r>
      <w:r>
        <w:rPr>
          <w:rFonts w:ascii="Times New Roman" w:eastAsia="Times New Roman" w:hAnsi="Times New Roman"/>
          <w:w w:val="105"/>
          <w:sz w:val="24"/>
          <w:szCs w:val="24"/>
        </w:rPr>
        <w:t xml:space="preserve"> important embryonic events such as</w:t>
      </w:r>
      <w:r w:rsidRPr="00C94057">
        <w:rPr>
          <w:rFonts w:ascii="Times New Roman" w:eastAsia="Times New Roman" w:hAnsi="Times New Roman"/>
          <w:w w:val="105"/>
          <w:sz w:val="24"/>
          <w:szCs w:val="24"/>
        </w:rPr>
        <w:t xml:space="preserve"> mesoderm cell fate</w:t>
      </w:r>
      <w:r>
        <w:rPr>
          <w:rFonts w:ascii="Times New Roman" w:eastAsia="Times New Roman" w:hAnsi="Times New Roman"/>
          <w:w w:val="105"/>
          <w:sz w:val="24"/>
          <w:szCs w:val="24"/>
        </w:rPr>
        <w:t xml:space="preserve"> specification</w:t>
      </w:r>
      <w:r w:rsidRPr="00C94057">
        <w:rPr>
          <w:rFonts w:ascii="Times New Roman" w:eastAsia="Times New Roman" w:hAnsi="Times New Roman"/>
          <w:w w:val="105"/>
          <w:sz w:val="24"/>
          <w:szCs w:val="24"/>
        </w:rPr>
        <w:t xml:space="preserve">. Mesodermal-derived cell fate pathways are unclear due to the early specification of </w:t>
      </w:r>
    </w:p>
    <w:p w14:paraId="00BFED12" w14:textId="77777777" w:rsidR="00A65C22" w:rsidRDefault="00A65C22" w:rsidP="00A65C22">
      <w:pPr>
        <w:spacing w:line="200" w:lineRule="atLeast"/>
        <w:ind w:left="8617"/>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3D6A831B" wp14:editId="3A346E56">
            <wp:extent cx="762000" cy="20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203200"/>
                    </a:xfrm>
                    <a:prstGeom prst="rect">
                      <a:avLst/>
                    </a:prstGeom>
                    <a:noFill/>
                    <a:ln>
                      <a:noFill/>
                    </a:ln>
                  </pic:spPr>
                </pic:pic>
              </a:graphicData>
            </a:graphic>
          </wp:inline>
        </w:drawing>
      </w:r>
    </w:p>
    <w:p w14:paraId="5DF66D8E" w14:textId="77777777" w:rsidR="00A65C22" w:rsidRDefault="00A65C22" w:rsidP="00A65C22">
      <w:pPr>
        <w:spacing w:before="11"/>
        <w:rPr>
          <w:rFonts w:ascii="Times New Roman" w:eastAsia="Times New Roman" w:hAnsi="Times New Roman" w:cs="Times New Roman"/>
          <w:sz w:val="4"/>
          <w:szCs w:val="4"/>
        </w:rPr>
      </w:pPr>
    </w:p>
    <w:p w14:paraId="1209E5F5" w14:textId="1DC37BAB" w:rsidR="00A65C22" w:rsidRPr="002042C0" w:rsidRDefault="006D3186" w:rsidP="002042C0">
      <w:pPr>
        <w:spacing w:line="20" w:lineRule="atLeast"/>
        <w:ind w:left="109"/>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6D3EA744">
          <v:group id="_x0000_s1055" alt="" style="width:482.3pt;height:.4pt;mso-position-horizontal-relative:char;mso-position-vertical-relative:line" coordsize="9646,8">
            <v:group id="_x0000_s1056" alt="" style="position:absolute;left:4;top:4;width:9638;height:2" coordorigin="4,4" coordsize="9638,2">
              <v:shape id="_x0000_s1057" alt="" style="position:absolute;left:4;top:4;width:9638;height:2" coordorigin="4,4" coordsize="9638,0" path="m4,4r9638,e" filled="f" strokeweight=".14058mm">
                <v:path arrowok="t"/>
              </v:shape>
            </v:group>
            <w10:anchorlock/>
          </v:group>
        </w:pict>
      </w:r>
    </w:p>
    <w:p w14:paraId="1E7B6FF2" w14:textId="77777777" w:rsidR="002042C0" w:rsidRDefault="002042C0" w:rsidP="00A65C22">
      <w:pPr>
        <w:spacing w:before="9"/>
        <w:rPr>
          <w:rFonts w:ascii="Times New Roman" w:eastAsia="Times New Roman" w:hAnsi="Times New Roman"/>
          <w:w w:val="105"/>
          <w:sz w:val="24"/>
          <w:szCs w:val="24"/>
        </w:rPr>
      </w:pPr>
    </w:p>
    <w:p w14:paraId="2ADB8552" w14:textId="67C9A12D" w:rsidR="002042C0" w:rsidRDefault="002042C0" w:rsidP="00A65C22">
      <w:pPr>
        <w:spacing w:before="9"/>
        <w:rPr>
          <w:rFonts w:ascii="Times New Roman" w:eastAsia="Times New Roman" w:hAnsi="Times New Roman"/>
          <w:w w:val="105"/>
          <w:sz w:val="24"/>
          <w:szCs w:val="24"/>
        </w:rPr>
      </w:pPr>
      <w:r w:rsidRPr="00C94057">
        <w:rPr>
          <w:rFonts w:ascii="Times New Roman" w:eastAsia="Times New Roman" w:hAnsi="Times New Roman"/>
          <w:w w:val="105"/>
          <w:sz w:val="24"/>
          <w:szCs w:val="24"/>
        </w:rPr>
        <w:t xml:space="preserve">mesodermal progenitors during gestation, as well as the increased duration of time required to generate heterogeneous mixtures of desired mesodermal cell types </w:t>
      </w:r>
      <w:r>
        <w:rPr>
          <w:rFonts w:ascii="Times New Roman" w:eastAsia="Times New Roman" w:hAnsi="Times New Roman"/>
          <w:w w:val="105"/>
          <w:sz w:val="24"/>
          <w:szCs w:val="24"/>
        </w:rPr>
        <w:fldChar w:fldCharType="begin"/>
      </w:r>
      <w:r>
        <w:rPr>
          <w:rFonts w:ascii="Times New Roman" w:eastAsia="Times New Roman" w:hAnsi="Times New Roman"/>
          <w:w w:val="105"/>
          <w:sz w:val="24"/>
          <w:szCs w:val="24"/>
        </w:rPr>
        <w:instrText xml:space="preserve"> ADDIN ZOTERO_ITEM CSL_CITATION {"citationID":"tJFMQz1P","properties":{"formattedCitation":"(Loh et al., 2016)","plainCitation":"(Loh et al., 2016)","noteIndex":0},"citationItems":[{"id":876,"uris":["http://zotero.org/users/local/TF2zpDmr/items/AJJ2MZTT"],"uri":["http://zotero.org/users/local/TF2zpDmr/items/AJJ2MZTT"],"itemData":{"id":876,"type":"article-journal","container-title":"Cell","DOI":"10.1016/j.cell.2016.06.011","ISSN":"00928674","issue":"2","journalAbbreviation":"Cell","language":"en","page":"451-467","source":"DOI.org (Crossref)","title":"Mapping the Pairwise Choices Leading from Pluripotency to Human Bone, Heart, and Other Mesoderm Cell Types","volume":"166","author":[{"family":"Loh","given":"Kyle M."},{"family":"Chen","given":"Angela"},{"family":"Koh","given":"Pang Wei"},{"family":"Deng","given":"Tianda Z."},{"family":"Sinha","given":"Rahul"},{"family":"Tsai","given":"Jonathan M."},{"family":"Barkal","given":"Amira A."},{"family":"Shen","given":"Kimberle Y."},{"family":"Jain","given":"Rajan"},{"family":"Morganti","given":"Rachel M."},{"family":"Shyh-Chang","given":"Ng"},{"family":"Fernhoff","given":"Nathaniel B."},{"family":"George","given":"Benson M."},{"family":"Wernig","given":"Gerlinde"},{"family":"Salomon","given":"Rachel E.A."},{"family":"Chen","given":"Zhenghao"},{"family":"Vogel","given":"Hannes"},{"family":"Epstein","given":"Jonathan A."},{"family":"Kundaje","given":"Anshul"},{"family":"Talbot","given":"William S."},{"family":"Beachy","given":"Philip A."},{"family":"Ang","given":"Lay Teng"},{"family":"Weissman","given":"Irving L."}],"issued":{"date-parts":[["2016",7]]}}}],"schema":"https://github.com/citation-style-language/schema/raw/master/csl-citation.json"} </w:instrText>
      </w:r>
      <w:r>
        <w:rPr>
          <w:rFonts w:ascii="Times New Roman" w:eastAsia="Times New Roman" w:hAnsi="Times New Roman"/>
          <w:w w:val="105"/>
          <w:sz w:val="24"/>
          <w:szCs w:val="24"/>
        </w:rPr>
        <w:fldChar w:fldCharType="separate"/>
      </w:r>
      <w:r w:rsidRPr="006C22D1">
        <w:rPr>
          <w:rFonts w:ascii="Times New Roman" w:hAnsi="Times New Roman" w:cs="Times New Roman"/>
          <w:sz w:val="24"/>
        </w:rPr>
        <w:t>(</w:t>
      </w:r>
      <w:proofErr w:type="spellStart"/>
      <w:r w:rsidRPr="006C22D1">
        <w:rPr>
          <w:rFonts w:ascii="Times New Roman" w:hAnsi="Times New Roman" w:cs="Times New Roman"/>
          <w:sz w:val="24"/>
        </w:rPr>
        <w:t>Loh</w:t>
      </w:r>
      <w:proofErr w:type="spellEnd"/>
      <w:r w:rsidRPr="006C22D1">
        <w:rPr>
          <w:rFonts w:ascii="Times New Roman" w:hAnsi="Times New Roman" w:cs="Times New Roman"/>
          <w:sz w:val="24"/>
        </w:rPr>
        <w:t xml:space="preserve"> et al., 2016)</w:t>
      </w:r>
      <w:r>
        <w:rPr>
          <w:rFonts w:ascii="Times New Roman" w:eastAsia="Times New Roman" w:hAnsi="Times New Roman"/>
          <w:w w:val="105"/>
          <w:sz w:val="24"/>
          <w:szCs w:val="24"/>
        </w:rPr>
        <w:fldChar w:fldCharType="end"/>
      </w:r>
      <w:r>
        <w:rPr>
          <w:rFonts w:ascii="Times New Roman" w:eastAsia="Times New Roman" w:hAnsi="Times New Roman"/>
          <w:w w:val="105"/>
          <w:sz w:val="24"/>
          <w:szCs w:val="24"/>
        </w:rPr>
        <w:t>.</w:t>
      </w:r>
    </w:p>
    <w:p w14:paraId="3D393050" w14:textId="77777777" w:rsidR="006C2F7F" w:rsidRPr="00A65C22" w:rsidRDefault="006C2F7F" w:rsidP="00A65C22">
      <w:pPr>
        <w:spacing w:before="9"/>
        <w:rPr>
          <w:rFonts w:ascii="Times New Roman" w:eastAsia="Times New Roman" w:hAnsi="Times New Roman" w:cs="Times New Roman"/>
          <w:sz w:val="28"/>
          <w:szCs w:val="28"/>
        </w:rPr>
      </w:pPr>
    </w:p>
    <w:p w14:paraId="25DDE143" w14:textId="77777777" w:rsidR="00A65C22" w:rsidRDefault="00A65C22" w:rsidP="00A65C22">
      <w:pPr>
        <w:spacing w:before="2"/>
        <w:rPr>
          <w:rFonts w:ascii="Times New Roman" w:eastAsia="Times New Roman" w:hAnsi="Times New Roman" w:cs="Times New Roman"/>
          <w:b/>
          <w:bCs/>
          <w:sz w:val="10"/>
          <w:szCs w:val="10"/>
        </w:rPr>
      </w:pPr>
    </w:p>
    <w:p w14:paraId="61A5FB5C" w14:textId="3089AF14" w:rsidR="00CB0A06" w:rsidRDefault="007120C6" w:rsidP="00CB0A06">
      <w:pPr>
        <w:pStyle w:val="Heading1"/>
        <w:numPr>
          <w:ilvl w:val="0"/>
          <w:numId w:val="2"/>
        </w:numPr>
        <w:tabs>
          <w:tab w:val="left" w:pos="598"/>
        </w:tabs>
        <w:spacing w:before="0"/>
        <w:jc w:val="both"/>
        <w:rPr>
          <w:b w:val="0"/>
          <w:bCs w:val="0"/>
        </w:rPr>
      </w:pPr>
      <w:r>
        <w:rPr>
          <w:spacing w:val="-1"/>
          <w:w w:val="115"/>
        </w:rPr>
        <w:t xml:space="preserve">Studying Binary Cell </w:t>
      </w:r>
      <w:r w:rsidR="002707C2">
        <w:rPr>
          <w:spacing w:val="-1"/>
          <w:w w:val="115"/>
        </w:rPr>
        <w:t>Fate Decisions</w:t>
      </w:r>
    </w:p>
    <w:p w14:paraId="741C80ED" w14:textId="77777777" w:rsidR="00FA267D" w:rsidRDefault="00FA267D">
      <w:pPr>
        <w:jc w:val="both"/>
        <w:rPr>
          <w:rFonts w:ascii="Times New Roman" w:eastAsia="Times New Roman" w:hAnsi="Times New Roman" w:cs="Times New Roman"/>
          <w:sz w:val="18"/>
          <w:szCs w:val="18"/>
        </w:rPr>
      </w:pPr>
      <w:bookmarkStart w:id="1" w:name="A_Section"/>
      <w:bookmarkEnd w:id="1"/>
    </w:p>
    <w:p w14:paraId="622B7732" w14:textId="44AF9279" w:rsidR="00FA267D" w:rsidRDefault="00FA267D" w:rsidP="00FA267D">
      <w:pPr>
        <w:tabs>
          <w:tab w:val="left" w:pos="90"/>
        </w:tabs>
        <w:ind w:left="180"/>
        <w:jc w:val="both"/>
        <w:rPr>
          <w:rFonts w:ascii="Times New Roman" w:hAnsi="Times New Roman" w:cs="Times New Roman"/>
          <w:sz w:val="24"/>
          <w:szCs w:val="24"/>
        </w:rPr>
      </w:pPr>
      <w:r w:rsidRPr="00FA267D">
        <w:rPr>
          <w:rFonts w:ascii="Times New Roman" w:hAnsi="Times New Roman" w:cs="Times New Roman"/>
          <w:sz w:val="24"/>
          <w:szCs w:val="24"/>
        </w:rPr>
        <w:t xml:space="preserve">Traditionally, scientists have used fluorescent proteins (FPs) such as green fluorescent protein (GFP) isolated from the </w:t>
      </w:r>
      <w:r w:rsidRPr="004D0D55">
        <w:rPr>
          <w:rFonts w:ascii="Times New Roman" w:hAnsi="Times New Roman" w:cs="Times New Roman"/>
          <w:i/>
          <w:iCs/>
          <w:sz w:val="24"/>
          <w:szCs w:val="24"/>
        </w:rPr>
        <w:t xml:space="preserve">Aequorea </w:t>
      </w:r>
      <w:proofErr w:type="spellStart"/>
      <w:r w:rsidRPr="004D0D55">
        <w:rPr>
          <w:rFonts w:ascii="Times New Roman" w:hAnsi="Times New Roman" w:cs="Times New Roman"/>
          <w:i/>
          <w:iCs/>
          <w:sz w:val="24"/>
          <w:szCs w:val="24"/>
        </w:rPr>
        <w:t>victoria</w:t>
      </w:r>
      <w:proofErr w:type="spellEnd"/>
      <w:r w:rsidRPr="00FA267D">
        <w:rPr>
          <w:rFonts w:ascii="Times New Roman" w:hAnsi="Times New Roman" w:cs="Times New Roman"/>
          <w:sz w:val="24"/>
          <w:szCs w:val="24"/>
        </w:rPr>
        <w:t xml:space="preserve"> jellyfish to visualize the live expression of proteins of interest </w:t>
      </w:r>
      <w:r w:rsidR="006C2F7F">
        <w:rPr>
          <w:rFonts w:ascii="Times New Roman" w:hAnsi="Times New Roman" w:cs="Times New Roman"/>
          <w:sz w:val="24"/>
          <w:szCs w:val="24"/>
        </w:rPr>
        <w:fldChar w:fldCharType="begin"/>
      </w:r>
      <w:r w:rsidR="006C2F7F">
        <w:rPr>
          <w:rFonts w:ascii="Times New Roman" w:hAnsi="Times New Roman" w:cs="Times New Roman"/>
          <w:sz w:val="24"/>
          <w:szCs w:val="24"/>
        </w:rPr>
        <w:instrText xml:space="preserve"> ADDIN ZOTERO_ITEM CSL_CITATION {"citationID":"HEJjYgV8","properties":{"formattedCitation":"(Rodriguez et al., 2017)","plainCitation":"(Rodriguez et al., 2017)","noteIndex":0},"citationItems":[{"id":883,"uris":["http://zotero.org/users/local/TF2zpDmr/items/VMXV69UW"],"uri":["http://zotero.org/users/local/TF2zpDmr/items/VMXV69UW"],"itemData":{"id":883,"type":"article-journal","abstract":"Over the past 20 years, protein engineering has been extensively used to improve and modify the fundamental properties of fluorescent proteins (FPs) with the goal of adapting them for a fantastic range of applications. FPs have been modified by a combination of rational design, structure-based mutagenesis, and countless cycles of directed evolution (gene diversification followed by selection of clones with desired properties) that have collectively pushed the properties to photophysical and biochemical extremes. In this review, we attempt to provide both a summary of the progress that has been made during the past two decades, and a broad overview of the current state of FP development and applications in mammalian systems.","container-title":"Trends in biochemical sciences","DOI":"10.1016/j.tibs.2016.09.010","ISSN":"0968-0004","issue":"2","journalAbbreviation":"Trends Biochem Sci","note":"PMID: 27814948\nPMCID: PMC5272834","page":"111-129","source":"PubMed Central","title":"The growing and glowing toolbox of fluorescent and photoactive proteins","volume":"42","author":[{"family":"Rodriguez","given":"Erik A."},{"family":"Campbell","given":"Robert E."},{"family":"Lin","given":"John Y."},{"family":"Lin","given":"Michael Z."},{"family":"Miyawaki","given":"Atsushi"},{"family":"Palmer","given":"Amy E."},{"family":"Shu","given":"Xiaokun"},{"family":"Zhang","given":"Jin"},{"family":"Tsien","given":"Roger Y."}],"issued":{"date-parts":[["2017",2]]}}}],"schema":"https://github.com/citation-style-language/schema/raw/master/csl-citation.json"} </w:instrText>
      </w:r>
      <w:r w:rsidR="006C2F7F">
        <w:rPr>
          <w:rFonts w:ascii="Times New Roman" w:hAnsi="Times New Roman" w:cs="Times New Roman"/>
          <w:sz w:val="24"/>
          <w:szCs w:val="24"/>
        </w:rPr>
        <w:fldChar w:fldCharType="separate"/>
      </w:r>
      <w:r w:rsidR="006C2F7F" w:rsidRPr="006C2F7F">
        <w:rPr>
          <w:rFonts w:ascii="Times New Roman" w:hAnsi="Times New Roman" w:cs="Times New Roman"/>
          <w:sz w:val="24"/>
        </w:rPr>
        <w:t>(Rodriguez et al., 2017)</w:t>
      </w:r>
      <w:r w:rsidR="006C2F7F">
        <w:rPr>
          <w:rFonts w:ascii="Times New Roman" w:hAnsi="Times New Roman" w:cs="Times New Roman"/>
          <w:sz w:val="24"/>
          <w:szCs w:val="24"/>
        </w:rPr>
        <w:fldChar w:fldCharType="end"/>
      </w:r>
      <w:r w:rsidR="006C2F7F">
        <w:rPr>
          <w:rFonts w:ascii="Times New Roman" w:hAnsi="Times New Roman" w:cs="Times New Roman"/>
          <w:sz w:val="24"/>
          <w:szCs w:val="24"/>
        </w:rPr>
        <w:t xml:space="preserve">. </w:t>
      </w:r>
      <w:r w:rsidRPr="00FA267D">
        <w:rPr>
          <w:rFonts w:ascii="Times New Roman" w:hAnsi="Times New Roman" w:cs="Times New Roman"/>
          <w:sz w:val="24"/>
          <w:szCs w:val="24"/>
        </w:rPr>
        <w:t>The fluorescent protein is inserted into the target gene sequence through homology-directed repair (HDR), a process where while repairing a double-stranded DNA break, the cell incorporates new DNA at that locus as the new sequence is flanked by homology arms that resemble the region of insertion</w:t>
      </w:r>
      <w:r w:rsidR="00FB3A3C">
        <w:rPr>
          <w:rFonts w:ascii="Times New Roman" w:hAnsi="Times New Roman" w:cs="Times New Roman"/>
          <w:sz w:val="24"/>
          <w:szCs w:val="24"/>
        </w:rPr>
        <w:t xml:space="preserve"> </w:t>
      </w:r>
      <w:r w:rsidR="00FB3A3C">
        <w:rPr>
          <w:rFonts w:ascii="Times New Roman" w:hAnsi="Times New Roman" w:cs="Times New Roman"/>
          <w:sz w:val="24"/>
          <w:szCs w:val="24"/>
        </w:rPr>
        <w:fldChar w:fldCharType="begin"/>
      </w:r>
      <w:r w:rsidR="00FB3A3C">
        <w:rPr>
          <w:rFonts w:ascii="Times New Roman" w:hAnsi="Times New Roman" w:cs="Times New Roman"/>
          <w:sz w:val="24"/>
          <w:szCs w:val="24"/>
        </w:rPr>
        <w:instrText xml:space="preserve"> ADDIN ZOTERO_ITEM CSL_CITATION {"citationID":"IJZII0F4","properties":{"formattedCitation":"(Liang et al., 1998)","plainCitation":"(Liang et al., 1998)","noteIndex":0},"citationItems":[{"id":886,"uris":["http://zotero.org/users/local/TF2zpDmr/items/EAL93FKM"],"uri":["http://zotero.org/users/local/TF2zpDmr/items/EAL93FKM"],"itemData":{"id":886,"type":"article-journal","abstract":"Mammalian cells have been presumed to repair potentially lethal chromosomal double-strand breaks (DSBs) in large part by processes that do not require homology to the break site. This contrasts with Saccharomyces cerevisiae where the major DSB repair pathway is homologous recombination. Recently, it has been determined that DSBs in genomic DNA in mammalian cells can stimulate homologous recombination as much as 3 or 4 orders of magnitude, suggesting that homology-directed repair may play an important role in the repair of chromosomal breaks. To determine whether mammalian cells use recombinational repair at a significant level, we have analyzed the spectrum of repair events at a defined chromosomal break by using direct physical analysis of repair products. When an endonuclease-generated DSB is introduced into one of two direct repeats, homologous repair is found to account for 30–50% of observed repair events. Both noncrossover and deletional homologous repair products are detected, at approximately a 1:3 ratio. These results demonstrate the importance of homologous recombination in the repair of DSBs in mammalian cells. In the remaining observed repair events, DSBs are repaired by nonhomologous processes. The nonhomologous repair events generally result in small deletions or insertions at the break site, although a small fraction of events result in larger chromosomal rearrangements. Interestingly, in two insertions, GT repeats were integrated at one of the broken chromosome ends, suggesting that DSB repair can contribute to the spread of microsatellite sequences in mammalian genomes.","container-title":"Proceedings of the National Academy of Sciences","DOI":"10.1073/pnas.95.9.5172","ISSN":"0027-8424, 1091-6490","issue":"9","journalAbbreviation":"PNAS","language":"en","note":"PMID: 9560248","page":"5172-5177","source":"www.pnas.org","title":"Homology-directed repair is a major double-strand break repair pathway in mammalian cells","volume":"95","author":[{"family":"Liang","given":"Feng"},{"family":"Han","given":"Mingguang"},{"family":"Romanienko","given":"Peter J."},{"family":"Jasin","given":"Maria"}],"issued":{"date-parts":[["1998",4,28]]}}}],"schema":"https://github.com/citation-style-language/schema/raw/master/csl-citation.json"} </w:instrText>
      </w:r>
      <w:r w:rsidR="00FB3A3C">
        <w:rPr>
          <w:rFonts w:ascii="Times New Roman" w:hAnsi="Times New Roman" w:cs="Times New Roman"/>
          <w:sz w:val="24"/>
          <w:szCs w:val="24"/>
        </w:rPr>
        <w:fldChar w:fldCharType="separate"/>
      </w:r>
      <w:r w:rsidR="00FB3A3C" w:rsidRPr="00FB3A3C">
        <w:rPr>
          <w:rFonts w:ascii="Times New Roman" w:hAnsi="Times New Roman" w:cs="Times New Roman"/>
          <w:sz w:val="24"/>
        </w:rPr>
        <w:t>(Liang et al., 1998)</w:t>
      </w:r>
      <w:r w:rsidR="00FB3A3C">
        <w:rPr>
          <w:rFonts w:ascii="Times New Roman" w:hAnsi="Times New Roman" w:cs="Times New Roman"/>
          <w:sz w:val="24"/>
          <w:szCs w:val="24"/>
        </w:rPr>
        <w:fldChar w:fldCharType="end"/>
      </w:r>
      <w:r w:rsidRPr="00FA267D">
        <w:rPr>
          <w:rFonts w:ascii="Times New Roman" w:hAnsi="Times New Roman" w:cs="Times New Roman"/>
          <w:sz w:val="24"/>
          <w:szCs w:val="24"/>
        </w:rPr>
        <w:t xml:space="preserve">. Therefore, when the DNA at that insertion loci is translated, the FP is also translated, making the protein product fluorescent and easy to track in real-time.  </w:t>
      </w:r>
    </w:p>
    <w:p w14:paraId="38F14796" w14:textId="05AC7343" w:rsidR="00FA267D" w:rsidRPr="00FA267D" w:rsidRDefault="00FA267D" w:rsidP="00FA267D">
      <w:pPr>
        <w:tabs>
          <w:tab w:val="left" w:pos="90"/>
        </w:tabs>
        <w:ind w:left="180"/>
        <w:jc w:val="both"/>
        <w:rPr>
          <w:rFonts w:ascii="Times New Roman" w:hAnsi="Times New Roman" w:cs="Times New Roman"/>
          <w:sz w:val="24"/>
          <w:szCs w:val="24"/>
        </w:rPr>
      </w:pPr>
      <w:r w:rsidRPr="00FA267D">
        <w:rPr>
          <w:rFonts w:ascii="Times New Roman" w:hAnsi="Times New Roman" w:cs="Times New Roman"/>
          <w:sz w:val="24"/>
          <w:szCs w:val="24"/>
        </w:rPr>
        <w:t xml:space="preserve">  </w:t>
      </w:r>
    </w:p>
    <w:p w14:paraId="1B540961" w14:textId="71F38916" w:rsidR="00FA267D" w:rsidRDefault="00FA267D" w:rsidP="00FA267D">
      <w:pPr>
        <w:tabs>
          <w:tab w:val="left" w:pos="90"/>
        </w:tabs>
        <w:ind w:left="180"/>
        <w:jc w:val="both"/>
        <w:rPr>
          <w:rFonts w:ascii="Times New Roman" w:hAnsi="Times New Roman" w:cs="Times New Roman"/>
          <w:sz w:val="24"/>
          <w:szCs w:val="24"/>
        </w:rPr>
      </w:pPr>
      <w:r w:rsidRPr="00FA267D">
        <w:rPr>
          <w:rFonts w:ascii="Times New Roman" w:hAnsi="Times New Roman" w:cs="Times New Roman"/>
          <w:sz w:val="24"/>
          <w:szCs w:val="24"/>
        </w:rPr>
        <w:t xml:space="preserve">To increase the efficacy and targeting ability of HDR, zinc finger nucleases (ZFN), transcription activator-like effector nucleases (TALENs), and clustered regularly interspaced short palindromic repeats (CRISPR-Cas9) gene-editing technologies were developed. These gene-editing technologies allow scientists to more accurately choose where they want to insert a new DNA sequence through HDR and allows for more targeted tagging of genes of interest with FPs. ZFNs are composed of zinc finger proteins fused to the </w:t>
      </w:r>
      <w:proofErr w:type="spellStart"/>
      <w:r w:rsidRPr="00FA267D">
        <w:rPr>
          <w:rFonts w:ascii="Times New Roman" w:hAnsi="Times New Roman" w:cs="Times New Roman"/>
          <w:sz w:val="24"/>
          <w:szCs w:val="24"/>
        </w:rPr>
        <w:t>FokI</w:t>
      </w:r>
      <w:proofErr w:type="spellEnd"/>
      <w:r w:rsidRPr="00FA267D">
        <w:rPr>
          <w:rFonts w:ascii="Times New Roman" w:hAnsi="Times New Roman" w:cs="Times New Roman"/>
          <w:sz w:val="24"/>
          <w:szCs w:val="24"/>
        </w:rPr>
        <w:t xml:space="preserve"> endonuclease and recognize a trinucleotide DNA sequence</w:t>
      </w:r>
      <w:r w:rsidR="00FB3A3C">
        <w:rPr>
          <w:rFonts w:ascii="Times New Roman" w:hAnsi="Times New Roman" w:cs="Times New Roman"/>
          <w:sz w:val="24"/>
          <w:szCs w:val="24"/>
        </w:rPr>
        <w:t xml:space="preserve"> </w:t>
      </w:r>
      <w:r w:rsidR="00FB3A3C">
        <w:rPr>
          <w:rFonts w:ascii="Times New Roman" w:hAnsi="Times New Roman" w:cs="Times New Roman"/>
          <w:sz w:val="24"/>
          <w:szCs w:val="24"/>
        </w:rPr>
        <w:fldChar w:fldCharType="begin"/>
      </w:r>
      <w:r w:rsidR="00FB3A3C">
        <w:rPr>
          <w:rFonts w:ascii="Times New Roman" w:hAnsi="Times New Roman" w:cs="Times New Roman"/>
          <w:sz w:val="24"/>
          <w:szCs w:val="24"/>
        </w:rPr>
        <w:instrText xml:space="preserve"> ADDIN ZOTERO_ITEM CSL_CITATION {"citationID":"PKIEsITt","properties":{"formattedCitation":"(Kim et al., 1996)","plainCitation":"(Kim et al., 1996)","noteIndex":0},"citationItems":[{"id":890,"uris":["http://zotero.org/users/local/TF2zpDmr/items/UWFS3TPZ"],"uri":["http://zotero.org/users/local/TF2zpDmr/items/UWFS3TPZ"],"itemData":{"id":890,"type":"article-journal","abstract":"A long-term goal in the field of restriction-modification enzymes has been to generate restriction endonucleases with novel sequence specificities by mutating or engineering existing enzymes. This will avoid the increasingly arduous task of extensive screening of bacteria and other microorganisms for new enzymes. Here, we report the deliberate creation of novel site-specific endonucleases by linking two different zinc finger proteins to the cleavage domain of Fok I endonuclease. Both fusion proteins are active and under optimal conditions cleave DNA in a sequence-specific manner. Thus, the modular structure of Fok I endonuclease and the zinc finger motifs makes it possible to create \"artificial\" nucleases that will cut DNA near a predetermined site. This opens the way to generate many new enzymes with tailor-made sequence specificities desirable for various applications.","container-title":"Proceedings of the National Academy of Sciences of the United States of America","ISSN":"0027-8424","issue":"3","journalAbbreviation":"Proc Natl Acad Sci U S A","note":"PMID: 8577732\nPMCID: PMC40048","page":"1156-1160","source":"PubMed Central","title":"Hybrid restriction enzymes: zinc finger fusions to Fok I cleavage domain.","title-short":"Hybrid restriction enzymes","volume":"93","author":[{"family":"Kim","given":"Y G"},{"family":"Cha","given":"J"},{"family":"Chandrasegaran","given":"S"}],"issued":{"date-parts":[["1996",2,6]]}}}],"schema":"https://github.com/citation-style-language/schema/raw/master/csl-citation.json"} </w:instrText>
      </w:r>
      <w:r w:rsidR="00FB3A3C">
        <w:rPr>
          <w:rFonts w:ascii="Times New Roman" w:hAnsi="Times New Roman" w:cs="Times New Roman"/>
          <w:sz w:val="24"/>
          <w:szCs w:val="24"/>
        </w:rPr>
        <w:fldChar w:fldCharType="separate"/>
      </w:r>
      <w:r w:rsidR="00FB3A3C" w:rsidRPr="00FB3A3C">
        <w:rPr>
          <w:rFonts w:ascii="Times New Roman" w:hAnsi="Times New Roman" w:cs="Times New Roman"/>
          <w:sz w:val="24"/>
        </w:rPr>
        <w:t>(Kim et al., 1996)</w:t>
      </w:r>
      <w:r w:rsidR="00FB3A3C">
        <w:rPr>
          <w:rFonts w:ascii="Times New Roman" w:hAnsi="Times New Roman" w:cs="Times New Roman"/>
          <w:sz w:val="24"/>
          <w:szCs w:val="24"/>
        </w:rPr>
        <w:fldChar w:fldCharType="end"/>
      </w:r>
      <w:r w:rsidRPr="00FA267D">
        <w:rPr>
          <w:rFonts w:ascii="Times New Roman" w:hAnsi="Times New Roman" w:cs="Times New Roman"/>
          <w:sz w:val="24"/>
          <w:szCs w:val="24"/>
        </w:rPr>
        <w:t xml:space="preserve">. TALENs are composed of the bacterial TALE protein fused to the </w:t>
      </w:r>
      <w:proofErr w:type="spellStart"/>
      <w:r w:rsidRPr="00FA267D">
        <w:rPr>
          <w:rFonts w:ascii="Times New Roman" w:hAnsi="Times New Roman" w:cs="Times New Roman"/>
          <w:sz w:val="24"/>
          <w:szCs w:val="24"/>
        </w:rPr>
        <w:t>FokI</w:t>
      </w:r>
      <w:proofErr w:type="spellEnd"/>
      <w:r w:rsidRPr="00FA267D">
        <w:rPr>
          <w:rFonts w:ascii="Times New Roman" w:hAnsi="Times New Roman" w:cs="Times New Roman"/>
          <w:sz w:val="24"/>
          <w:szCs w:val="24"/>
        </w:rPr>
        <w:t xml:space="preserve"> endonuclease, and each TALE molecule identifies one nucleotide, with an array of TALE’s recognizing more than one nucleotide</w:t>
      </w:r>
      <w:r w:rsidR="00AF3EDA">
        <w:rPr>
          <w:rFonts w:ascii="Times New Roman" w:hAnsi="Times New Roman" w:cs="Times New Roman"/>
          <w:sz w:val="24"/>
          <w:szCs w:val="24"/>
        </w:rPr>
        <w:t xml:space="preserve"> </w:t>
      </w:r>
      <w:r w:rsidR="00AF3EDA">
        <w:rPr>
          <w:rFonts w:ascii="Times New Roman" w:hAnsi="Times New Roman" w:cs="Times New Roman"/>
          <w:sz w:val="24"/>
          <w:szCs w:val="24"/>
        </w:rPr>
        <w:fldChar w:fldCharType="begin"/>
      </w:r>
      <w:r w:rsidR="00AF3EDA">
        <w:rPr>
          <w:rFonts w:ascii="Times New Roman" w:hAnsi="Times New Roman" w:cs="Times New Roman"/>
          <w:sz w:val="24"/>
          <w:szCs w:val="24"/>
        </w:rPr>
        <w:instrText xml:space="preserve"> ADDIN ZOTERO_ITEM CSL_CITATION {"citationID":"z6hB10SF","properties":{"formattedCitation":"(Christian et al., 2010)","plainCitation":"(Christian et al., 2010)","noteIndex":0},"citationItems":[{"id":933,"uris":["http://zotero.org/users/local/TF2zpDmr/items/IBNSFWJ8"],"uri":["http://zotero.org/users/local/TF2zpDmr/items/IBNSFWJ8"],"itemData":{"id":933,"type":"article-journal","abstract":"Engineered nucleases that cleave specific DNA sequences in vivo are valuable reagents for targeted mutagenesis. Here we report a new class of sequence-specific nucleases created by fusing transcription activator-like effectors (TALEs) to the catalytic domain of the FokI endonuclease. Both native and custom TALE-nuclease fusions direct DNA double-strand breaks to specific, targeted sites.","container-title":"Genetics","DOI":"10.1534/genetics.110.120717","ISSN":"0016-6731, 1943-2631","issue":"2","language":"en","note":"PMID: 20660643","page":"757-761","source":"www.genetics.org","title":"Targeting DNA Double-Strand Breaks with TAL Effector Nucleases","volume":"186","author":[{"family":"Christian","given":"Michelle"},{"family":"Cermak","given":"Tomas"},{"family":"Doyle","given":"Erin L."},{"family":"Schmidt","given":"Clarice"},{"family":"Zhang","given":"Feng"},{"family":"Hummel","given":"Aaron"},{"family":"Bogdanove","given":"Adam J."},{"family":"Voytas","given":"Daniel F."}],"issued":{"date-parts":[["2010",10,1]]}}}],"schema":"https://github.com/citation-style-language/schema/raw/master/csl-citation.json"} </w:instrText>
      </w:r>
      <w:r w:rsidR="00AF3EDA">
        <w:rPr>
          <w:rFonts w:ascii="Times New Roman" w:hAnsi="Times New Roman" w:cs="Times New Roman"/>
          <w:sz w:val="24"/>
          <w:szCs w:val="24"/>
        </w:rPr>
        <w:fldChar w:fldCharType="separate"/>
      </w:r>
      <w:r w:rsidR="00AF3EDA" w:rsidRPr="00AF3EDA">
        <w:rPr>
          <w:rFonts w:ascii="Times New Roman" w:hAnsi="Times New Roman" w:cs="Times New Roman"/>
          <w:sz w:val="24"/>
        </w:rPr>
        <w:t>(Christian et al., 2010)</w:t>
      </w:r>
      <w:r w:rsidR="00AF3EDA">
        <w:rPr>
          <w:rFonts w:ascii="Times New Roman" w:hAnsi="Times New Roman" w:cs="Times New Roman"/>
          <w:sz w:val="24"/>
          <w:szCs w:val="24"/>
        </w:rPr>
        <w:fldChar w:fldCharType="end"/>
      </w:r>
      <w:r w:rsidRPr="00FA267D">
        <w:rPr>
          <w:rFonts w:ascii="Times New Roman" w:hAnsi="Times New Roman" w:cs="Times New Roman"/>
          <w:sz w:val="24"/>
          <w:szCs w:val="24"/>
        </w:rPr>
        <w:t>. CRISPR-Cas9 is composed of a Cas9 nuclease, a trans-activating crRNA (</w:t>
      </w:r>
      <w:proofErr w:type="spellStart"/>
      <w:r w:rsidRPr="00FA267D">
        <w:rPr>
          <w:rFonts w:ascii="Times New Roman" w:hAnsi="Times New Roman" w:cs="Times New Roman"/>
          <w:sz w:val="24"/>
          <w:szCs w:val="24"/>
        </w:rPr>
        <w:t>tracrRNA</w:t>
      </w:r>
      <w:proofErr w:type="spellEnd"/>
      <w:r w:rsidRPr="00FA267D">
        <w:rPr>
          <w:rFonts w:ascii="Times New Roman" w:hAnsi="Times New Roman" w:cs="Times New Roman"/>
          <w:sz w:val="24"/>
          <w:szCs w:val="24"/>
        </w:rPr>
        <w:t>)</w:t>
      </w:r>
      <w:r w:rsidR="00834CA4">
        <w:rPr>
          <w:rFonts w:ascii="Times New Roman" w:hAnsi="Times New Roman" w:cs="Times New Roman"/>
          <w:sz w:val="24"/>
          <w:szCs w:val="24"/>
        </w:rPr>
        <w:t>,</w:t>
      </w:r>
      <w:r w:rsidRPr="00FA267D">
        <w:rPr>
          <w:rFonts w:ascii="Times New Roman" w:hAnsi="Times New Roman" w:cs="Times New Roman"/>
          <w:sz w:val="24"/>
          <w:szCs w:val="24"/>
        </w:rPr>
        <w:t xml:space="preserve"> and a single guide RNA (sgRNA) that localizes the Cas9 nuclease to the correct region. This genetic region has to be followed by a protospacer adjacent motif (PAM) for accurate localization of Cas9 </w:t>
      </w:r>
      <w:r w:rsidR="004C3A74">
        <w:rPr>
          <w:rFonts w:ascii="Times New Roman" w:hAnsi="Times New Roman" w:cs="Times New Roman"/>
          <w:sz w:val="24"/>
          <w:szCs w:val="24"/>
        </w:rPr>
        <w:fldChar w:fldCharType="begin"/>
      </w:r>
      <w:r w:rsidR="004C3A74">
        <w:rPr>
          <w:rFonts w:ascii="Times New Roman" w:hAnsi="Times New Roman" w:cs="Times New Roman"/>
          <w:sz w:val="24"/>
          <w:szCs w:val="24"/>
        </w:rPr>
        <w:instrText xml:space="preserve"> ADDIN ZOTERO_ITEM CSL_CITATION {"citationID":"JTJJmTiT","properties":{"formattedCitation":"(Mali et al., 2013)","plainCitation":"(Mali et al., 2013)","noteIndex":0},"citationItems":[{"id":894,"uris":["http://zotero.org/users/local/TF2zpDmr/items/IGGARYW5"],"uri":["http://zotero.org/users/local/TF2zpDmr/items/IGGARYW5"],"itemData":{"id":894,"type":"article-journal","abstract":"Bacteria and archaea have evolved adaptive immune defenses, termed clustered regularly interspaced short palindromic repeats (CRISPR)/CRISPR-associated (Cas) systems, that use short RNA to direct degradation of foreign nucleic acids. Here, we engineer the type II bacterial CRISPR system to function with custom guide RNA (gRNA) in human cells. For the endogenous AAVS1 locus, we obtained targeting rates of 10 to 25% in 293T cells, 13 to 8% in K562 cells, and 2 to 4% in induced pluripotent stem cells. We show that this process relies on CRISPR components; is sequence-specific; and, upon simultaneous introduction of multiple gRNAs, can effect multiplex editing of target loci. We also compute a genome-wide resource of ~190 K unique gRNAs targeting ~40.5% of human exons. Our results establish an RNA-guided editing tool for facile, robust, and multiplexable human genome engineering.","DOI":"http://dx.doi.org/10.1126/science.1232033","ISSN":"0036-8075","language":"eng","source":"repositori.upf.edu","title":"RNA-guided human genome engineering via Cas9","URL":"http://repositori.upf.edu/handle/10230/41936","author":[{"family":"Mali","given":"Prashant"},{"family":"Yang","given":"Luhan"},{"family":"Esvelt","given":"Kevin M."},{"family":"Aach","given":"John"},{"family":"Güell Cargol","given":"Marc"},{"family":"DiCarlo","given":"James E."},{"family":"Norville","given":"Julie E."},{"family":"Church","given":"George M."}],"accessed":{"date-parts":[["2019",12,3]]},"issued":{"date-parts":[["2013"]]}}}],"schema":"https://github.com/citation-style-language/schema/raw/master/csl-citation.json"} </w:instrText>
      </w:r>
      <w:r w:rsidR="004C3A74">
        <w:rPr>
          <w:rFonts w:ascii="Times New Roman" w:hAnsi="Times New Roman" w:cs="Times New Roman"/>
          <w:sz w:val="24"/>
          <w:szCs w:val="24"/>
        </w:rPr>
        <w:fldChar w:fldCharType="separate"/>
      </w:r>
      <w:r w:rsidR="004C3A74" w:rsidRPr="004C3A74">
        <w:rPr>
          <w:rFonts w:ascii="Times New Roman" w:hAnsi="Times New Roman" w:cs="Times New Roman"/>
          <w:sz w:val="24"/>
        </w:rPr>
        <w:t>(Mali et al., 2013)</w:t>
      </w:r>
      <w:r w:rsidR="004C3A74">
        <w:rPr>
          <w:rFonts w:ascii="Times New Roman" w:hAnsi="Times New Roman" w:cs="Times New Roman"/>
          <w:sz w:val="24"/>
          <w:szCs w:val="24"/>
        </w:rPr>
        <w:fldChar w:fldCharType="end"/>
      </w:r>
      <w:r w:rsidRPr="00FA267D">
        <w:rPr>
          <w:rFonts w:ascii="Times New Roman" w:hAnsi="Times New Roman" w:cs="Times New Roman"/>
          <w:sz w:val="24"/>
          <w:szCs w:val="24"/>
        </w:rPr>
        <w:t>.</w:t>
      </w:r>
    </w:p>
    <w:p w14:paraId="6BC9D008" w14:textId="383EB0FA" w:rsidR="00FA267D" w:rsidRDefault="00FA267D" w:rsidP="00FA267D">
      <w:pPr>
        <w:tabs>
          <w:tab w:val="left" w:pos="90"/>
        </w:tabs>
        <w:ind w:left="180"/>
        <w:jc w:val="both"/>
        <w:rPr>
          <w:rFonts w:ascii="Times New Roman" w:hAnsi="Times New Roman" w:cs="Times New Roman"/>
          <w:sz w:val="24"/>
          <w:szCs w:val="24"/>
        </w:rPr>
      </w:pPr>
    </w:p>
    <w:p w14:paraId="58183A37" w14:textId="56A4A341" w:rsidR="00FA267D" w:rsidRPr="00FA267D" w:rsidRDefault="00FA267D" w:rsidP="00FA267D">
      <w:pPr>
        <w:tabs>
          <w:tab w:val="left" w:pos="90"/>
        </w:tabs>
        <w:ind w:left="180"/>
        <w:jc w:val="both"/>
        <w:rPr>
          <w:rFonts w:ascii="Times New Roman" w:hAnsi="Times New Roman" w:cs="Times New Roman"/>
          <w:sz w:val="24"/>
          <w:szCs w:val="24"/>
        </w:rPr>
      </w:pPr>
    </w:p>
    <w:p w14:paraId="01F89773" w14:textId="12F221D5" w:rsidR="00FA267D" w:rsidRPr="00FA267D" w:rsidRDefault="00FA267D" w:rsidP="00FA267D">
      <w:pPr>
        <w:pStyle w:val="Heading1"/>
        <w:numPr>
          <w:ilvl w:val="0"/>
          <w:numId w:val="2"/>
        </w:numPr>
        <w:tabs>
          <w:tab w:val="left" w:pos="598"/>
        </w:tabs>
        <w:spacing w:before="0"/>
        <w:jc w:val="both"/>
        <w:rPr>
          <w:b w:val="0"/>
          <w:bCs w:val="0"/>
        </w:rPr>
      </w:pPr>
      <w:r w:rsidRPr="00FA267D">
        <w:rPr>
          <w:rFonts w:cs="Times New Roman"/>
        </w:rPr>
        <w:t xml:space="preserve">Self-complementing Split Fluorescent Proteins </w:t>
      </w:r>
    </w:p>
    <w:p w14:paraId="38D6B5A6" w14:textId="48D7772A" w:rsidR="00FA267D" w:rsidRDefault="00FA267D" w:rsidP="00FA267D">
      <w:pPr>
        <w:tabs>
          <w:tab w:val="left" w:pos="90"/>
        </w:tabs>
        <w:ind w:left="180"/>
        <w:jc w:val="both"/>
        <w:rPr>
          <w:rFonts w:ascii="Times New Roman" w:hAnsi="Times New Roman" w:cs="Times New Roman"/>
          <w:sz w:val="24"/>
          <w:szCs w:val="24"/>
        </w:rPr>
      </w:pPr>
      <w:r w:rsidRPr="00FA267D">
        <w:rPr>
          <w:rFonts w:ascii="Times New Roman" w:hAnsi="Times New Roman" w:cs="Times New Roman"/>
          <w:sz w:val="24"/>
          <w:szCs w:val="24"/>
        </w:rPr>
        <w:t>Incorporating FPs through traditional HDR requires the FP to be introduced through large plasmids containing the homology arms to the DNA locus of insertion flanking the FP DNA. Self-complementing split fluorescent proteins (</w:t>
      </w:r>
      <w:proofErr w:type="spellStart"/>
      <w:r w:rsidRPr="00FA267D">
        <w:rPr>
          <w:rFonts w:ascii="Times New Roman" w:hAnsi="Times New Roman" w:cs="Times New Roman"/>
          <w:sz w:val="24"/>
          <w:szCs w:val="24"/>
        </w:rPr>
        <w:t>sFPs</w:t>
      </w:r>
      <w:proofErr w:type="spellEnd"/>
      <w:r w:rsidRPr="00FA267D">
        <w:rPr>
          <w:rFonts w:ascii="Times New Roman" w:hAnsi="Times New Roman" w:cs="Times New Roman"/>
          <w:sz w:val="24"/>
          <w:szCs w:val="24"/>
        </w:rPr>
        <w:t xml:space="preserve">) are engineered to allow more robust visualization of protein expression and localization </w:t>
      </w:r>
      <w:r w:rsidR="00BC5729">
        <w:rPr>
          <w:rFonts w:ascii="Times New Roman" w:hAnsi="Times New Roman" w:cs="Times New Roman"/>
          <w:sz w:val="24"/>
          <w:szCs w:val="24"/>
        </w:rPr>
        <w:fldChar w:fldCharType="begin"/>
      </w:r>
      <w:r w:rsidR="00BC5729">
        <w:rPr>
          <w:rFonts w:ascii="Times New Roman" w:hAnsi="Times New Roman" w:cs="Times New Roman"/>
          <w:sz w:val="24"/>
          <w:szCs w:val="24"/>
        </w:rPr>
        <w:instrText xml:space="preserve"> ADDIN ZOTERO_ITEM CSL_CITATION {"citationID":"yzAm4KuU","properties":{"formattedCitation":"(Feng et al., 2017)","plainCitation":"(Feng et al., 2017)","noteIndex":0},"citationItems":[{"id":869,"uris":["http://zotero.org/users/local/TF2zpDmr/items/7V3QP65G"],"uri":["http://zotero.org/users/local/TF2zpDmr/items/7V3QP65G"],"itemData":{"id":869,"type":"article-journal","abstract":"Self-complementing split fluorescent proteins (FPs) have been widely used for protein labeling, visualization of subcellular protein localization, and detection of cell-cell contact. To expand this toolset, we have developed a screening strategy for the direct engineering of self-complementing split FPs. Via this strategy, we have generated a yellow-green split-mNeonGreen21-10/11 that improves the ratio of complemented signal to the background of FP1-10-expressing cells compared to the commonly used split GFP1-10/11; as well as a 10-fold brighter red-colored split-sfCherry21-10/11. Based on split sfCherry2, we have engineered a photoactivatable variant that enables single-molecule localization-based super-resolution microscopy. We have demonstrated dual-color endogenous protein tagging with sfCherry211 and GFP11, revealing that endoplasmic reticulum translocon complex Sec61B has reduced abundance in certain peripheral tubules. These new split FPs not only offer multiple colors for imaging interaction networks of endogenous proteins, but also hold the potential to provide orthogonal handles for biochemical isolation of native protein complexes.Split fluorescent proteins (FPs) have been widely used to visualise proteins in cells. Here the authors develop a screen for engineering new split FPs, and report a yellow-green split-mNeonGreen2 with reduced background, a red split-sfCherry2 for multicolour labeling, and its photoactivatable variant for super-resolution use.","container-title":"Nature Communications","DOI":"10.1038/s41467-017-00494-8","ISSN":"2041-1723","issue":"1","journalAbbreviation":"Nat Commun","language":"eng","note":"PMID: 28851864\nPMCID: PMC5575300","page":"370","source":"PubMed","title":"Improved split fluorescent proteins for endogenous protein labeling","volume":"8","author":[{"family":"Feng","given":"Siyu"},{"family":"Sekine","given":"Sayaka"},{"family":"Pessino","given":"Veronica"},{"family":"Li","given":"Han"},{"family":"Leonetti","given":"Manuel D."},{"family":"Huang","given":"Bo"}],"issued":{"date-parts":[["2017"]],"season":"29"}}}],"schema":"https://github.com/citation-style-language/schema/raw/master/csl-citation.json"} </w:instrText>
      </w:r>
      <w:r w:rsidR="00BC5729">
        <w:rPr>
          <w:rFonts w:ascii="Times New Roman" w:hAnsi="Times New Roman" w:cs="Times New Roman"/>
          <w:sz w:val="24"/>
          <w:szCs w:val="24"/>
        </w:rPr>
        <w:fldChar w:fldCharType="separate"/>
      </w:r>
      <w:r w:rsidR="00BC5729" w:rsidRPr="00BC5729">
        <w:rPr>
          <w:rFonts w:ascii="Times New Roman" w:hAnsi="Times New Roman" w:cs="Times New Roman"/>
          <w:sz w:val="24"/>
        </w:rPr>
        <w:t>(Feng et al., 2017)</w:t>
      </w:r>
      <w:r w:rsidR="00BC5729">
        <w:rPr>
          <w:rFonts w:ascii="Times New Roman" w:hAnsi="Times New Roman" w:cs="Times New Roman"/>
          <w:sz w:val="24"/>
          <w:szCs w:val="24"/>
        </w:rPr>
        <w:fldChar w:fldCharType="end"/>
      </w:r>
      <w:r w:rsidRPr="00FA267D">
        <w:rPr>
          <w:rFonts w:ascii="Times New Roman" w:hAnsi="Times New Roman" w:cs="Times New Roman"/>
          <w:sz w:val="24"/>
          <w:szCs w:val="24"/>
        </w:rPr>
        <w:t xml:space="preserve">. Each FP is composed of 11 beta-sheets and is split into two separate domains, a large and small domain, that fluoresce upon self-association. The larger domain is composed of the first 1-10 beta-sheets and associates with the small domain, which has the 11th beta-sheet. </w:t>
      </w:r>
      <w:r w:rsidRPr="00F408BF">
        <w:rPr>
          <w:rFonts w:ascii="Times New Roman" w:hAnsi="Times New Roman" w:cs="Times New Roman"/>
          <w:b/>
          <w:bCs/>
          <w:sz w:val="24"/>
          <w:szCs w:val="24"/>
        </w:rPr>
        <w:t>Figure 1</w:t>
      </w:r>
      <w:r w:rsidRPr="00FA267D">
        <w:rPr>
          <w:rFonts w:ascii="Times New Roman" w:hAnsi="Times New Roman" w:cs="Times New Roman"/>
          <w:sz w:val="24"/>
          <w:szCs w:val="24"/>
        </w:rPr>
        <w:t xml:space="preserve"> demonstrates the self-complementation process of </w:t>
      </w:r>
      <w:proofErr w:type="spellStart"/>
      <w:r w:rsidRPr="00FA267D">
        <w:rPr>
          <w:rFonts w:ascii="Times New Roman" w:hAnsi="Times New Roman" w:cs="Times New Roman"/>
          <w:sz w:val="24"/>
          <w:szCs w:val="24"/>
        </w:rPr>
        <w:t>sFPs</w:t>
      </w:r>
      <w:proofErr w:type="spellEnd"/>
      <w:r w:rsidRPr="00FA267D">
        <w:rPr>
          <w:rFonts w:ascii="Times New Roman" w:hAnsi="Times New Roman" w:cs="Times New Roman"/>
          <w:sz w:val="24"/>
          <w:szCs w:val="24"/>
        </w:rPr>
        <w:t>, describing that the domains cannot fluoresce until they are bound together.</w:t>
      </w:r>
    </w:p>
    <w:p w14:paraId="0D0366FE" w14:textId="5692E4DB" w:rsidR="00C31CD5" w:rsidRDefault="00C31CD5" w:rsidP="00FA267D">
      <w:pPr>
        <w:tabs>
          <w:tab w:val="left" w:pos="90"/>
        </w:tabs>
        <w:ind w:left="180"/>
        <w:jc w:val="both"/>
        <w:rPr>
          <w:rFonts w:ascii="Times New Roman" w:hAnsi="Times New Roman" w:cs="Times New Roman"/>
          <w:sz w:val="24"/>
          <w:szCs w:val="24"/>
        </w:rPr>
      </w:pPr>
    </w:p>
    <w:p w14:paraId="5C628371" w14:textId="4A5976BE" w:rsidR="00C31CD5" w:rsidRDefault="00C31CD5" w:rsidP="00FA267D">
      <w:pPr>
        <w:tabs>
          <w:tab w:val="left" w:pos="90"/>
        </w:tabs>
        <w:ind w:left="180"/>
        <w:jc w:val="both"/>
        <w:rPr>
          <w:rFonts w:ascii="Times New Roman" w:hAnsi="Times New Roman" w:cs="Times New Roman"/>
          <w:sz w:val="24"/>
          <w:szCs w:val="24"/>
        </w:rPr>
      </w:pPr>
    </w:p>
    <w:p w14:paraId="652D380E" w14:textId="12CC538B" w:rsidR="00C31CD5" w:rsidRDefault="00C31CD5" w:rsidP="00FA267D">
      <w:pPr>
        <w:tabs>
          <w:tab w:val="left" w:pos="90"/>
        </w:tabs>
        <w:ind w:left="180"/>
        <w:jc w:val="both"/>
        <w:rPr>
          <w:rFonts w:ascii="Times New Roman" w:hAnsi="Times New Roman" w:cs="Times New Roman"/>
          <w:sz w:val="24"/>
          <w:szCs w:val="24"/>
        </w:rPr>
      </w:pPr>
    </w:p>
    <w:p w14:paraId="43ADC8E6" w14:textId="7D00EB61" w:rsidR="00C31CD5" w:rsidRDefault="00C31CD5" w:rsidP="00FA267D">
      <w:pPr>
        <w:tabs>
          <w:tab w:val="left" w:pos="90"/>
        </w:tabs>
        <w:ind w:left="180"/>
        <w:jc w:val="both"/>
        <w:rPr>
          <w:rFonts w:ascii="Times New Roman" w:hAnsi="Times New Roman" w:cs="Times New Roman"/>
          <w:sz w:val="24"/>
          <w:szCs w:val="24"/>
        </w:rPr>
      </w:pPr>
    </w:p>
    <w:p w14:paraId="2752E18D" w14:textId="31A394B2" w:rsidR="00C31CD5" w:rsidRDefault="00C31CD5" w:rsidP="00FA267D">
      <w:pPr>
        <w:tabs>
          <w:tab w:val="left" w:pos="90"/>
        </w:tabs>
        <w:ind w:left="180"/>
        <w:jc w:val="both"/>
        <w:rPr>
          <w:rFonts w:ascii="Times New Roman" w:hAnsi="Times New Roman" w:cs="Times New Roman"/>
          <w:sz w:val="24"/>
          <w:szCs w:val="24"/>
        </w:rPr>
      </w:pPr>
    </w:p>
    <w:p w14:paraId="6B8C4C86" w14:textId="0060A50C" w:rsidR="00C31CD5" w:rsidRDefault="00C31CD5" w:rsidP="00FA267D">
      <w:pPr>
        <w:tabs>
          <w:tab w:val="left" w:pos="90"/>
        </w:tabs>
        <w:ind w:left="180"/>
        <w:jc w:val="both"/>
        <w:rPr>
          <w:rFonts w:ascii="Times New Roman" w:hAnsi="Times New Roman" w:cs="Times New Roman"/>
          <w:sz w:val="24"/>
          <w:szCs w:val="24"/>
        </w:rPr>
      </w:pPr>
    </w:p>
    <w:p w14:paraId="16A87449" w14:textId="5781CD77" w:rsidR="00C31CD5" w:rsidRDefault="00C31CD5" w:rsidP="00FA267D">
      <w:pPr>
        <w:tabs>
          <w:tab w:val="left" w:pos="90"/>
        </w:tabs>
        <w:ind w:left="180"/>
        <w:jc w:val="both"/>
        <w:rPr>
          <w:rFonts w:ascii="Times New Roman" w:hAnsi="Times New Roman" w:cs="Times New Roman"/>
          <w:sz w:val="24"/>
          <w:szCs w:val="24"/>
        </w:rPr>
      </w:pPr>
    </w:p>
    <w:p w14:paraId="29B4383D" w14:textId="01DE3855" w:rsidR="00C31CD5" w:rsidRDefault="00C31CD5" w:rsidP="00FA267D">
      <w:pPr>
        <w:tabs>
          <w:tab w:val="left" w:pos="90"/>
        </w:tabs>
        <w:ind w:left="180"/>
        <w:jc w:val="both"/>
        <w:rPr>
          <w:rFonts w:ascii="Times New Roman" w:hAnsi="Times New Roman" w:cs="Times New Roman"/>
          <w:sz w:val="24"/>
          <w:szCs w:val="24"/>
        </w:rPr>
      </w:pPr>
    </w:p>
    <w:p w14:paraId="4523C2E3" w14:textId="77777777" w:rsidR="00C31CD5" w:rsidRDefault="00C31CD5" w:rsidP="00FA267D">
      <w:pPr>
        <w:tabs>
          <w:tab w:val="left" w:pos="90"/>
        </w:tabs>
        <w:ind w:left="180"/>
        <w:jc w:val="both"/>
        <w:rPr>
          <w:rFonts w:ascii="Times New Roman" w:hAnsi="Times New Roman" w:cs="Times New Roman"/>
          <w:sz w:val="24"/>
          <w:szCs w:val="24"/>
        </w:rPr>
      </w:pPr>
    </w:p>
    <w:p w14:paraId="7621AB78" w14:textId="04BC00BA" w:rsidR="00776550" w:rsidRDefault="00776550" w:rsidP="00FA267D">
      <w:pPr>
        <w:tabs>
          <w:tab w:val="left" w:pos="90"/>
        </w:tabs>
        <w:ind w:left="180"/>
        <w:jc w:val="both"/>
        <w:rPr>
          <w:rFonts w:ascii="Times New Roman" w:hAnsi="Times New Roman" w:cs="Times New Roman"/>
          <w:sz w:val="24"/>
          <w:szCs w:val="24"/>
        </w:rPr>
      </w:pPr>
    </w:p>
    <w:p w14:paraId="3B7482DD" w14:textId="0DE0DE9C" w:rsidR="00776550" w:rsidRPr="00FA267D" w:rsidRDefault="00776550" w:rsidP="00912DA4">
      <w:pPr>
        <w:tabs>
          <w:tab w:val="left" w:pos="90"/>
        </w:tabs>
        <w:ind w:left="180"/>
        <w:jc w:val="center"/>
        <w:rPr>
          <w:rFonts w:ascii="Times New Roman" w:hAnsi="Times New Roman" w:cs="Times New Roman"/>
          <w:sz w:val="24"/>
          <w:szCs w:val="24"/>
        </w:rPr>
      </w:pPr>
    </w:p>
    <w:p w14:paraId="200374DB" w14:textId="77777777" w:rsidR="00FA267D" w:rsidRPr="00FA267D" w:rsidRDefault="00FA267D" w:rsidP="00FA267D">
      <w:pPr>
        <w:tabs>
          <w:tab w:val="left" w:pos="90"/>
        </w:tabs>
        <w:ind w:left="180"/>
        <w:jc w:val="both"/>
        <w:rPr>
          <w:rFonts w:ascii="Times New Roman" w:hAnsi="Times New Roman" w:cs="Times New Roman"/>
          <w:sz w:val="24"/>
          <w:szCs w:val="24"/>
        </w:rPr>
      </w:pPr>
      <w:r w:rsidRPr="00FA267D">
        <w:rPr>
          <w:rFonts w:ascii="Times New Roman" w:hAnsi="Times New Roman" w:cs="Times New Roman"/>
          <w:sz w:val="24"/>
          <w:szCs w:val="24"/>
        </w:rPr>
        <w:t xml:space="preserve"> </w:t>
      </w:r>
    </w:p>
    <w:p w14:paraId="0722E31D" w14:textId="77777777" w:rsidR="00A65C22" w:rsidRDefault="00A65C22" w:rsidP="00A65C22">
      <w:pPr>
        <w:pStyle w:val="BodyText"/>
        <w:spacing w:before="71" w:line="249" w:lineRule="auto"/>
        <w:ind w:left="108" w:right="111" w:firstLine="5"/>
        <w:jc w:val="both"/>
        <w:rPr>
          <w:w w:val="105"/>
        </w:rPr>
      </w:pPr>
    </w:p>
    <w:p w14:paraId="606F8B40" w14:textId="77777777" w:rsidR="00A65C22" w:rsidRDefault="00A65C22" w:rsidP="00A65C22">
      <w:pPr>
        <w:spacing w:line="200" w:lineRule="atLeast"/>
        <w:ind w:left="8617"/>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9C02744" wp14:editId="0BAF4EF2">
            <wp:extent cx="762000" cy="20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203200"/>
                    </a:xfrm>
                    <a:prstGeom prst="rect">
                      <a:avLst/>
                    </a:prstGeom>
                    <a:noFill/>
                    <a:ln>
                      <a:noFill/>
                    </a:ln>
                  </pic:spPr>
                </pic:pic>
              </a:graphicData>
            </a:graphic>
          </wp:inline>
        </w:drawing>
      </w:r>
    </w:p>
    <w:p w14:paraId="323E0D89" w14:textId="77777777" w:rsidR="00A65C22" w:rsidRDefault="00A65C22" w:rsidP="00A65C22">
      <w:pPr>
        <w:spacing w:before="11"/>
        <w:rPr>
          <w:rFonts w:ascii="Times New Roman" w:eastAsia="Times New Roman" w:hAnsi="Times New Roman" w:cs="Times New Roman"/>
          <w:sz w:val="4"/>
          <w:szCs w:val="4"/>
        </w:rPr>
      </w:pPr>
    </w:p>
    <w:p w14:paraId="119A2135" w14:textId="77777777" w:rsidR="00A65C22" w:rsidRDefault="006D3186" w:rsidP="00A65C22">
      <w:pPr>
        <w:spacing w:line="20" w:lineRule="atLeast"/>
        <w:ind w:left="109"/>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109D8C7A">
          <v:group id="_x0000_s1058" alt="" style="width:482.3pt;height:.4pt;mso-position-horizontal-relative:char;mso-position-vertical-relative:line" coordsize="9646,8">
            <v:group id="_x0000_s1059" alt="" style="position:absolute;left:4;top:4;width:9638;height:2" coordorigin="4,4" coordsize="9638,2">
              <v:shape id="_x0000_s1060" alt="" style="position:absolute;left:4;top:4;width:9638;height:2" coordorigin="4,4" coordsize="9638,0" path="m4,4r9638,e" filled="f" strokeweight=".14058mm">
                <v:path arrowok="t"/>
              </v:shape>
            </v:group>
            <w10:anchorlock/>
          </v:group>
        </w:pict>
      </w:r>
    </w:p>
    <w:p w14:paraId="139B107E" w14:textId="77777777" w:rsidR="00C31CD5" w:rsidRDefault="00C31CD5" w:rsidP="00A65C22">
      <w:pPr>
        <w:spacing w:before="9"/>
        <w:rPr>
          <w:rFonts w:ascii="Times New Roman" w:hAnsi="Times New Roman" w:cs="Times New Roman"/>
          <w:noProof/>
          <w:sz w:val="24"/>
          <w:szCs w:val="24"/>
        </w:rPr>
      </w:pPr>
    </w:p>
    <w:p w14:paraId="745A0423" w14:textId="77777777" w:rsidR="00C31CD5" w:rsidRDefault="00C31CD5" w:rsidP="00A65C22">
      <w:pPr>
        <w:spacing w:before="9"/>
        <w:rPr>
          <w:rFonts w:ascii="Times New Roman" w:hAnsi="Times New Roman" w:cs="Times New Roman"/>
          <w:noProof/>
          <w:sz w:val="24"/>
          <w:szCs w:val="24"/>
        </w:rPr>
      </w:pPr>
    </w:p>
    <w:p w14:paraId="60F898F6" w14:textId="3ED45F55" w:rsidR="00A65C22" w:rsidRDefault="00C31CD5" w:rsidP="001F323A">
      <w:pPr>
        <w:spacing w:before="9"/>
        <w:jc w:val="center"/>
        <w:rPr>
          <w:rFonts w:ascii="Times New Roman" w:eastAsia="Times New Roman" w:hAnsi="Times New Roman" w:cs="Times New Roman"/>
          <w:sz w:val="28"/>
          <w:szCs w:val="28"/>
        </w:rPr>
      </w:pPr>
      <w:r>
        <w:rPr>
          <w:rFonts w:ascii="Times New Roman" w:hAnsi="Times New Roman" w:cs="Times New Roman"/>
          <w:noProof/>
          <w:sz w:val="24"/>
          <w:szCs w:val="24"/>
        </w:rPr>
        <w:drawing>
          <wp:inline distT="0" distB="0" distL="0" distR="0" wp14:anchorId="65EE720E" wp14:editId="079A6313">
            <wp:extent cx="4997303" cy="2254103"/>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007029" cy="2258490"/>
                    </a:xfrm>
                    <a:prstGeom prst="rect">
                      <a:avLst/>
                    </a:prstGeom>
                  </pic:spPr>
                </pic:pic>
              </a:graphicData>
            </a:graphic>
          </wp:inline>
        </w:drawing>
      </w:r>
    </w:p>
    <w:p w14:paraId="5AA8F04E" w14:textId="77777777" w:rsidR="00C31CD5" w:rsidRPr="00A65C22" w:rsidRDefault="00C31CD5" w:rsidP="00A65C22">
      <w:pPr>
        <w:spacing w:before="9"/>
        <w:rPr>
          <w:rFonts w:ascii="Times New Roman" w:eastAsia="Times New Roman" w:hAnsi="Times New Roman" w:cs="Times New Roman"/>
          <w:sz w:val="28"/>
          <w:szCs w:val="28"/>
        </w:rPr>
      </w:pPr>
    </w:p>
    <w:p w14:paraId="79471DDF" w14:textId="26DF11DF" w:rsidR="000D049A" w:rsidRDefault="00FA267D" w:rsidP="000D049A">
      <w:pPr>
        <w:tabs>
          <w:tab w:val="left" w:pos="90"/>
        </w:tabs>
        <w:ind w:left="180"/>
        <w:jc w:val="both"/>
        <w:rPr>
          <w:rFonts w:ascii="Times New Roman" w:hAnsi="Times New Roman" w:cs="Times New Roman"/>
          <w:sz w:val="24"/>
          <w:szCs w:val="24"/>
        </w:rPr>
      </w:pPr>
      <w:r w:rsidRPr="00FA267D">
        <w:rPr>
          <w:rFonts w:ascii="Times New Roman" w:hAnsi="Times New Roman" w:cs="Times New Roman"/>
          <w:sz w:val="24"/>
          <w:szCs w:val="24"/>
        </w:rPr>
        <w:t xml:space="preserve">To fluorescently tag a gene with </w:t>
      </w:r>
      <w:proofErr w:type="spellStart"/>
      <w:r w:rsidRPr="00FA267D">
        <w:rPr>
          <w:rFonts w:ascii="Times New Roman" w:hAnsi="Times New Roman" w:cs="Times New Roman"/>
          <w:sz w:val="24"/>
          <w:szCs w:val="24"/>
        </w:rPr>
        <w:t>sFPs</w:t>
      </w:r>
      <w:proofErr w:type="spellEnd"/>
      <w:r w:rsidRPr="00FA267D">
        <w:rPr>
          <w:rFonts w:ascii="Times New Roman" w:hAnsi="Times New Roman" w:cs="Times New Roman"/>
          <w:sz w:val="24"/>
          <w:szCs w:val="24"/>
        </w:rPr>
        <w:t xml:space="preserve">, scientists can incorporate the large domain of the </w:t>
      </w:r>
      <w:proofErr w:type="spellStart"/>
      <w:r w:rsidRPr="00FA267D">
        <w:rPr>
          <w:rFonts w:ascii="Times New Roman" w:hAnsi="Times New Roman" w:cs="Times New Roman"/>
          <w:sz w:val="24"/>
          <w:szCs w:val="24"/>
        </w:rPr>
        <w:t>sFP</w:t>
      </w:r>
      <w:proofErr w:type="spellEnd"/>
      <w:r w:rsidRPr="00FA267D">
        <w:rPr>
          <w:rFonts w:ascii="Times New Roman" w:hAnsi="Times New Roman" w:cs="Times New Roman"/>
          <w:sz w:val="24"/>
          <w:szCs w:val="24"/>
        </w:rPr>
        <w:t xml:space="preserve"> into the genome. Then, instead of using HDR to integrate the entire FP, scientists can use HDR to incorporate only the small domain of the </w:t>
      </w:r>
      <w:proofErr w:type="spellStart"/>
      <w:r w:rsidRPr="00FA267D">
        <w:rPr>
          <w:rFonts w:ascii="Times New Roman" w:hAnsi="Times New Roman" w:cs="Times New Roman"/>
          <w:sz w:val="24"/>
          <w:szCs w:val="24"/>
        </w:rPr>
        <w:t>sFP</w:t>
      </w:r>
      <w:proofErr w:type="spellEnd"/>
      <w:r w:rsidRPr="00FA267D">
        <w:rPr>
          <w:rFonts w:ascii="Times New Roman" w:hAnsi="Times New Roman" w:cs="Times New Roman"/>
          <w:sz w:val="24"/>
          <w:szCs w:val="24"/>
        </w:rPr>
        <w:t xml:space="preserve"> into the region of interest, targeted to that region via ZFNs, TALENs, or CRISPR-Cas9. Therefore, when that DNA region is translated, both domains will self-complement and cause the translated protein to fluoresce, allowing scientists to live track the movement and expression of that protein. Using </w:t>
      </w:r>
      <w:proofErr w:type="spellStart"/>
      <w:r w:rsidRPr="00FA267D">
        <w:rPr>
          <w:rFonts w:ascii="Times New Roman" w:hAnsi="Times New Roman" w:cs="Times New Roman"/>
          <w:sz w:val="24"/>
          <w:szCs w:val="24"/>
        </w:rPr>
        <w:t>sFPs</w:t>
      </w:r>
      <w:proofErr w:type="spellEnd"/>
      <w:r w:rsidRPr="00FA267D">
        <w:rPr>
          <w:rFonts w:ascii="Times New Roman" w:hAnsi="Times New Roman" w:cs="Times New Roman"/>
          <w:sz w:val="24"/>
          <w:szCs w:val="24"/>
        </w:rPr>
        <w:t xml:space="preserve"> to fluorescently tag genes </w:t>
      </w:r>
      <w:r w:rsidR="002A4AF8">
        <w:rPr>
          <w:rFonts w:ascii="Times New Roman" w:hAnsi="Times New Roman" w:cs="Times New Roman"/>
          <w:sz w:val="24"/>
          <w:szCs w:val="24"/>
        </w:rPr>
        <w:t>can be</w:t>
      </w:r>
      <w:r w:rsidRPr="00FA267D">
        <w:rPr>
          <w:rFonts w:ascii="Times New Roman" w:hAnsi="Times New Roman" w:cs="Times New Roman"/>
          <w:sz w:val="24"/>
          <w:szCs w:val="24"/>
        </w:rPr>
        <w:t xml:space="preserve"> more effective than using FP proteins as HDR with </w:t>
      </w:r>
      <w:proofErr w:type="spellStart"/>
      <w:r w:rsidRPr="00FA267D">
        <w:rPr>
          <w:rFonts w:ascii="Times New Roman" w:hAnsi="Times New Roman" w:cs="Times New Roman"/>
          <w:sz w:val="24"/>
          <w:szCs w:val="24"/>
        </w:rPr>
        <w:t>sFPs</w:t>
      </w:r>
      <w:proofErr w:type="spellEnd"/>
      <w:r w:rsidRPr="00FA267D">
        <w:rPr>
          <w:rFonts w:ascii="Times New Roman" w:hAnsi="Times New Roman" w:cs="Times New Roman"/>
          <w:sz w:val="24"/>
          <w:szCs w:val="24"/>
        </w:rPr>
        <w:t xml:space="preserve"> only require small single-stranded oligo DNA nucleotides (</w:t>
      </w:r>
      <w:proofErr w:type="spellStart"/>
      <w:r w:rsidRPr="00FA267D">
        <w:rPr>
          <w:rFonts w:ascii="Times New Roman" w:hAnsi="Times New Roman" w:cs="Times New Roman"/>
          <w:sz w:val="24"/>
          <w:szCs w:val="24"/>
        </w:rPr>
        <w:t>ssODNs</w:t>
      </w:r>
      <w:proofErr w:type="spellEnd"/>
      <w:r w:rsidRPr="00FA267D">
        <w:rPr>
          <w:rFonts w:ascii="Times New Roman" w:hAnsi="Times New Roman" w:cs="Times New Roman"/>
          <w:sz w:val="24"/>
          <w:szCs w:val="24"/>
        </w:rPr>
        <w:t xml:space="preserve">) to be incorporated into the genome, whereas HDR with FPs involves the incorporation of a large plasmid containing the entire FP sequence. Additionally, </w:t>
      </w:r>
      <w:r w:rsidR="00834CA4">
        <w:rPr>
          <w:rFonts w:ascii="Times New Roman" w:hAnsi="Times New Roman" w:cs="Times New Roman"/>
          <w:sz w:val="24"/>
          <w:szCs w:val="24"/>
        </w:rPr>
        <w:t xml:space="preserve">the </w:t>
      </w:r>
      <w:r w:rsidRPr="00FA267D">
        <w:rPr>
          <w:rFonts w:ascii="Times New Roman" w:hAnsi="Times New Roman" w:cs="Times New Roman"/>
          <w:sz w:val="24"/>
          <w:szCs w:val="24"/>
        </w:rPr>
        <w:t xml:space="preserve">generation of </w:t>
      </w:r>
      <w:proofErr w:type="spellStart"/>
      <w:r w:rsidRPr="00FA267D">
        <w:rPr>
          <w:rFonts w:ascii="Times New Roman" w:hAnsi="Times New Roman" w:cs="Times New Roman"/>
          <w:sz w:val="24"/>
          <w:szCs w:val="24"/>
        </w:rPr>
        <w:t>sFP</w:t>
      </w:r>
      <w:proofErr w:type="spellEnd"/>
      <w:r w:rsidRPr="00FA267D">
        <w:rPr>
          <w:rFonts w:ascii="Times New Roman" w:hAnsi="Times New Roman" w:cs="Times New Roman"/>
          <w:sz w:val="24"/>
          <w:szCs w:val="24"/>
        </w:rPr>
        <w:t xml:space="preserve"> small domain-containing </w:t>
      </w:r>
      <w:proofErr w:type="spellStart"/>
      <w:r w:rsidRPr="00FA267D">
        <w:rPr>
          <w:rFonts w:ascii="Times New Roman" w:hAnsi="Times New Roman" w:cs="Times New Roman"/>
          <w:sz w:val="24"/>
          <w:szCs w:val="24"/>
        </w:rPr>
        <w:t>ssODNs</w:t>
      </w:r>
      <w:proofErr w:type="spellEnd"/>
      <w:r w:rsidRPr="00FA267D">
        <w:rPr>
          <w:rFonts w:ascii="Times New Roman" w:hAnsi="Times New Roman" w:cs="Times New Roman"/>
          <w:sz w:val="24"/>
          <w:szCs w:val="24"/>
        </w:rPr>
        <w:t xml:space="preserve"> is much more convenient, as it is an oligo that can be ordered, whereas the FP-containing plasmid needs to be engineered. Furthermore, adding higher concentrations of the </w:t>
      </w:r>
      <w:proofErr w:type="spellStart"/>
      <w:r w:rsidRPr="00FA267D">
        <w:rPr>
          <w:rFonts w:ascii="Times New Roman" w:hAnsi="Times New Roman" w:cs="Times New Roman"/>
          <w:sz w:val="24"/>
          <w:szCs w:val="24"/>
        </w:rPr>
        <w:t>sFP</w:t>
      </w:r>
      <w:proofErr w:type="spellEnd"/>
      <w:r w:rsidRPr="00FA267D">
        <w:rPr>
          <w:rFonts w:ascii="Times New Roman" w:hAnsi="Times New Roman" w:cs="Times New Roman"/>
          <w:sz w:val="24"/>
          <w:szCs w:val="24"/>
        </w:rPr>
        <w:t xml:space="preserve"> small domain will amplify weak fluorescent signals, allowing scientists to visualize low throughput proteins (Feng et al., 2017). </w:t>
      </w:r>
      <w:r w:rsidR="000D049A" w:rsidRPr="00FA267D">
        <w:rPr>
          <w:rFonts w:ascii="Times New Roman" w:hAnsi="Times New Roman" w:cs="Times New Roman"/>
          <w:sz w:val="24"/>
          <w:szCs w:val="24"/>
        </w:rPr>
        <w:t xml:space="preserve">Currently, two </w:t>
      </w:r>
      <w:proofErr w:type="spellStart"/>
      <w:r w:rsidR="000D049A" w:rsidRPr="00FA267D">
        <w:rPr>
          <w:rFonts w:ascii="Times New Roman" w:hAnsi="Times New Roman" w:cs="Times New Roman"/>
          <w:sz w:val="24"/>
          <w:szCs w:val="24"/>
        </w:rPr>
        <w:t>sFPs</w:t>
      </w:r>
      <w:proofErr w:type="spellEnd"/>
      <w:r w:rsidR="000D049A" w:rsidRPr="00FA267D">
        <w:rPr>
          <w:rFonts w:ascii="Times New Roman" w:hAnsi="Times New Roman" w:cs="Times New Roman"/>
          <w:sz w:val="24"/>
          <w:szCs w:val="24"/>
        </w:rPr>
        <w:t xml:space="preserve">, mNG2 and sfCherry3C, are the brightest available proteins of the </w:t>
      </w:r>
      <w:proofErr w:type="spellStart"/>
      <w:r w:rsidR="000D049A" w:rsidRPr="00FA267D">
        <w:rPr>
          <w:rFonts w:ascii="Times New Roman" w:hAnsi="Times New Roman" w:cs="Times New Roman"/>
          <w:sz w:val="24"/>
          <w:szCs w:val="24"/>
        </w:rPr>
        <w:t>sFP</w:t>
      </w:r>
      <w:proofErr w:type="spellEnd"/>
      <w:r w:rsidR="000D049A" w:rsidRPr="00FA267D">
        <w:rPr>
          <w:rFonts w:ascii="Times New Roman" w:hAnsi="Times New Roman" w:cs="Times New Roman"/>
          <w:sz w:val="24"/>
          <w:szCs w:val="24"/>
        </w:rPr>
        <w:t xml:space="preserve"> family. The mNG2 construct was created by Feng et al. (Feng et al., 2017). The sfCherry3C was created by Feng et al.</w:t>
      </w:r>
      <w:r w:rsidR="000D049A">
        <w:rPr>
          <w:rFonts w:ascii="Times New Roman" w:hAnsi="Times New Roman" w:cs="Times New Roman"/>
          <w:sz w:val="24"/>
          <w:szCs w:val="24"/>
        </w:rPr>
        <w:t xml:space="preserve"> </w:t>
      </w:r>
      <w:r w:rsidR="000D049A">
        <w:rPr>
          <w:rFonts w:ascii="Times New Roman" w:hAnsi="Times New Roman" w:cs="Times New Roman"/>
          <w:sz w:val="24"/>
          <w:szCs w:val="24"/>
        </w:rPr>
        <w:fldChar w:fldCharType="begin"/>
      </w:r>
      <w:r w:rsidR="000D049A">
        <w:rPr>
          <w:rFonts w:ascii="Times New Roman" w:hAnsi="Times New Roman" w:cs="Times New Roman"/>
          <w:sz w:val="24"/>
          <w:szCs w:val="24"/>
        </w:rPr>
        <w:instrText xml:space="preserve"> ADDIN ZOTERO_ITEM CSL_CITATION {"citationID":"9hBy7OH5","properties":{"formattedCitation":"(Feng et al., 2018)","plainCitation":"(Feng et al., 2018)","noteIndex":0},"citationItems":[{"id":878,"uris":["http://zotero.org/users/local/TF2zpDmr/items/ZLB7FK4W"],"uri":["http://zotero.org/users/local/TF2zpDmr/items/ZLB7FK4W"],"itemData":{"id":878,"type":"report","abstract":"Abstract\n          Self-associating split fluorescent proteins (FPs) have been widely used for labeling proteins, scaffolding protein assembly and detecting cell-cell contacts. Newly developed self-associating split FPs, however, have suffered from suboptimal fluorescence signal. Here, by investigating the complementation process, we have demonstrated two approaches to improve split FPs: assistance through SpyTag/SpyCatcher interaction and directed evolution. The latter has yielded two split sfCherry3 variants with substantially enhanced overall brightness, facilitating the tagging of endogenous proteins by gene editing. Based on sfCherry3, we have further developed a new red-colored trans-synaptic marker called Neuroligin-1 sfCherry3 Linker Across Synaptic Partners (NLG-1 CLASP) for multiplexed visualization of neuronal synapses in living animals, demonstrating its broad applications.","genre":"preprint","language":"en","note":"DOI: 10.1101/454041","publisher":"Cell Biology","source":"DOI.org (Crossref)","title":"Bright split red fluorescent proteins with enhanced complementation efficiency for the tagging of endogenous proteins and visualization of synapses","URL":"http://biorxiv.org/lookup/doi/10.1101/454041","author":[{"family":"Feng","given":"Siyu"},{"family":"Varshney","given":"Aruna"},{"family":"Villa","given":"Doris Coto"},{"family":"Modavi","given":"Cyrus"},{"family":"Kohler","given":"John"},{"family":"Farah","given":"Fatima"},{"family":"Ali","given":"Nebat"},{"family":"Mueller","given":"Joachim Dieter"},{"family":"VanHoven","given":"Miri"},{"family":"Huang","given":"Bo"}],"accessed":{"date-parts":[["2019",12,3]]},"issued":{"date-parts":[["2018",10,25]]}}}],"schema":"https://github.com/citation-style-language/schema/raw/master/csl-citation.json"} </w:instrText>
      </w:r>
      <w:r w:rsidR="000D049A">
        <w:rPr>
          <w:rFonts w:ascii="Times New Roman" w:hAnsi="Times New Roman" w:cs="Times New Roman"/>
          <w:sz w:val="24"/>
          <w:szCs w:val="24"/>
        </w:rPr>
        <w:fldChar w:fldCharType="separate"/>
      </w:r>
      <w:r w:rsidR="000D049A" w:rsidRPr="000E73CC">
        <w:rPr>
          <w:rFonts w:ascii="Times New Roman" w:hAnsi="Times New Roman" w:cs="Times New Roman"/>
          <w:sz w:val="24"/>
        </w:rPr>
        <w:t>(Feng et al., 2018)</w:t>
      </w:r>
      <w:r w:rsidR="000D049A">
        <w:rPr>
          <w:rFonts w:ascii="Times New Roman" w:hAnsi="Times New Roman" w:cs="Times New Roman"/>
          <w:sz w:val="24"/>
          <w:szCs w:val="24"/>
        </w:rPr>
        <w:fldChar w:fldCharType="end"/>
      </w:r>
      <w:r w:rsidR="000D049A" w:rsidRPr="00FA267D">
        <w:rPr>
          <w:rFonts w:ascii="Times New Roman" w:hAnsi="Times New Roman" w:cs="Times New Roman"/>
          <w:sz w:val="24"/>
          <w:szCs w:val="24"/>
        </w:rPr>
        <w:t>.</w:t>
      </w:r>
    </w:p>
    <w:p w14:paraId="385CD744" w14:textId="77777777" w:rsidR="000D049A" w:rsidRDefault="000D049A" w:rsidP="00FA267D">
      <w:pPr>
        <w:tabs>
          <w:tab w:val="left" w:pos="90"/>
        </w:tabs>
        <w:ind w:left="180"/>
        <w:jc w:val="both"/>
        <w:rPr>
          <w:rFonts w:ascii="Times New Roman" w:hAnsi="Times New Roman" w:cs="Times New Roman"/>
          <w:sz w:val="24"/>
          <w:szCs w:val="24"/>
        </w:rPr>
      </w:pPr>
    </w:p>
    <w:p w14:paraId="3FA6ADFB" w14:textId="144166F8" w:rsidR="00FA267D" w:rsidRDefault="000D049A" w:rsidP="00FA267D">
      <w:pPr>
        <w:tabs>
          <w:tab w:val="left" w:pos="90"/>
        </w:tabs>
        <w:ind w:left="180"/>
        <w:jc w:val="both"/>
        <w:rPr>
          <w:rFonts w:ascii="Times New Roman" w:hAnsi="Times New Roman" w:cs="Times New Roman"/>
          <w:sz w:val="24"/>
          <w:szCs w:val="24"/>
        </w:rPr>
      </w:pPr>
      <w:r>
        <w:rPr>
          <w:rFonts w:ascii="Times New Roman" w:hAnsi="Times New Roman" w:cs="Times New Roman"/>
          <w:sz w:val="24"/>
          <w:szCs w:val="24"/>
        </w:rPr>
        <w:t xml:space="preserve">Despite these benefits, there are some limitations to the use of </w:t>
      </w:r>
      <w:proofErr w:type="spellStart"/>
      <w:r>
        <w:rPr>
          <w:rFonts w:ascii="Times New Roman" w:hAnsi="Times New Roman" w:cs="Times New Roman"/>
          <w:sz w:val="24"/>
          <w:szCs w:val="24"/>
        </w:rPr>
        <w:t>sFPs</w:t>
      </w:r>
      <w:proofErr w:type="spellEnd"/>
      <w:r w:rsidR="004B3C0E">
        <w:rPr>
          <w:rFonts w:ascii="Times New Roman" w:hAnsi="Times New Roman" w:cs="Times New Roman"/>
          <w:sz w:val="24"/>
          <w:szCs w:val="24"/>
        </w:rPr>
        <w:t xml:space="preserve">. </w:t>
      </w:r>
      <w:r w:rsidR="00FA267D" w:rsidRPr="00FA267D">
        <w:rPr>
          <w:rFonts w:ascii="Times New Roman" w:hAnsi="Times New Roman" w:cs="Times New Roman"/>
          <w:sz w:val="24"/>
          <w:szCs w:val="24"/>
        </w:rPr>
        <w:t xml:space="preserve">A major concern with using </w:t>
      </w:r>
      <w:proofErr w:type="spellStart"/>
      <w:r w:rsidR="00FA267D" w:rsidRPr="00FA267D">
        <w:rPr>
          <w:rFonts w:ascii="Times New Roman" w:hAnsi="Times New Roman" w:cs="Times New Roman"/>
          <w:sz w:val="24"/>
          <w:szCs w:val="24"/>
        </w:rPr>
        <w:t>sFPs</w:t>
      </w:r>
      <w:proofErr w:type="spellEnd"/>
      <w:r w:rsidR="00FA267D" w:rsidRPr="00FA267D">
        <w:rPr>
          <w:rFonts w:ascii="Times New Roman" w:hAnsi="Times New Roman" w:cs="Times New Roman"/>
          <w:sz w:val="24"/>
          <w:szCs w:val="24"/>
        </w:rPr>
        <w:t xml:space="preserve"> is that the large and small domains may dissociate, negatively impacting levels of fluorescence. However, </w:t>
      </w:r>
      <w:r w:rsidR="00FA267D" w:rsidRPr="00DC5642">
        <w:rPr>
          <w:rFonts w:ascii="Times New Roman" w:hAnsi="Times New Roman" w:cs="Times New Roman"/>
          <w:b/>
          <w:bCs/>
          <w:sz w:val="24"/>
          <w:szCs w:val="24"/>
        </w:rPr>
        <w:t>Figure 2</w:t>
      </w:r>
      <w:r w:rsidR="00FA267D" w:rsidRPr="00FA267D">
        <w:rPr>
          <w:rFonts w:ascii="Times New Roman" w:hAnsi="Times New Roman" w:cs="Times New Roman"/>
          <w:sz w:val="24"/>
          <w:szCs w:val="24"/>
        </w:rPr>
        <w:t xml:space="preserve"> demonstrates that while the initial binding of </w:t>
      </w:r>
      <w:proofErr w:type="spellStart"/>
      <w:r w:rsidR="00FA267D" w:rsidRPr="00FA267D">
        <w:rPr>
          <w:rFonts w:ascii="Times New Roman" w:hAnsi="Times New Roman" w:cs="Times New Roman"/>
          <w:sz w:val="24"/>
          <w:szCs w:val="24"/>
        </w:rPr>
        <w:t>sFPs</w:t>
      </w:r>
      <w:proofErr w:type="spellEnd"/>
      <w:r w:rsidR="00FA267D" w:rsidRPr="00FA267D">
        <w:rPr>
          <w:rFonts w:ascii="Times New Roman" w:hAnsi="Times New Roman" w:cs="Times New Roman"/>
          <w:sz w:val="24"/>
          <w:szCs w:val="24"/>
        </w:rPr>
        <w:t xml:space="preserve"> is reversible (Step 1), upon maturation and subsequent fluorescence of the compound (Step 2), the binding is irreversible </w:t>
      </w:r>
      <w:r w:rsidR="00BC5729">
        <w:rPr>
          <w:rFonts w:ascii="Times New Roman" w:hAnsi="Times New Roman" w:cs="Times New Roman"/>
          <w:sz w:val="24"/>
          <w:szCs w:val="24"/>
        </w:rPr>
        <w:fldChar w:fldCharType="begin"/>
      </w:r>
      <w:r w:rsidR="00BC5729">
        <w:rPr>
          <w:rFonts w:ascii="Times New Roman" w:hAnsi="Times New Roman" w:cs="Times New Roman"/>
          <w:sz w:val="24"/>
          <w:szCs w:val="24"/>
        </w:rPr>
        <w:instrText xml:space="preserve"> ADDIN ZOTERO_ITEM CSL_CITATION {"citationID":"wmgxhEKc","properties":{"formattedCitation":"(Feng et al., 2018)","plainCitation":"(Feng et al., 2018)","noteIndex":0},"citationItems":[{"id":878,"uris":["http://zotero.org/users/local/TF2zpDmr/items/ZLB7FK4W"],"uri":["http://zotero.org/users/local/TF2zpDmr/items/ZLB7FK4W"],"itemData":{"id":878,"type":"report","abstract":"Abstract\n          Self-associating split fluorescent proteins (FPs) have been widely used for labeling proteins, scaffolding protein assembly and detecting cell-cell contacts. Newly developed self-associating split FPs, however, have suffered from suboptimal fluorescence signal. Here, by investigating the complementation process, we have demonstrated two approaches to improve split FPs: assistance through SpyTag/SpyCatcher interaction and directed evolution. The latter has yielded two split sfCherry3 variants with substantially enhanced overall brightness, facilitating the tagging of endogenous proteins by gene editing. Based on sfCherry3, we have further developed a new red-colored trans-synaptic marker called Neuroligin-1 sfCherry3 Linker Across Synaptic Partners (NLG-1 CLASP) for multiplexed visualization of neuronal synapses in living animals, demonstrating its broad applications.","genre":"preprint","language":"en","note":"DOI: 10.1101/454041","publisher":"Cell Biology","source":"DOI.org (Crossref)","title":"Bright split red fluorescent proteins with enhanced complementation efficiency for the tagging of endogenous proteins and visualization of synapses","URL":"http://biorxiv.org/lookup/doi/10.1101/454041","author":[{"family":"Feng","given":"Siyu"},{"family":"Varshney","given":"Aruna"},{"family":"Villa","given":"Doris Coto"},{"family":"Modavi","given":"Cyrus"},{"family":"Kohler","given":"John"},{"family":"Farah","given":"Fatima"},{"family":"Ali","given":"Nebat"},{"family":"Mueller","given":"Joachim Dieter"},{"family":"VanHoven","given":"Miri"},{"family":"Huang","given":"Bo"}],"accessed":{"date-parts":[["2019",12,3]]},"issued":{"date-parts":[["2018",10,25]]}}}],"schema":"https://github.com/citation-style-language/schema/raw/master/csl-citation.json"} </w:instrText>
      </w:r>
      <w:r w:rsidR="00BC5729">
        <w:rPr>
          <w:rFonts w:ascii="Times New Roman" w:hAnsi="Times New Roman" w:cs="Times New Roman"/>
          <w:sz w:val="24"/>
          <w:szCs w:val="24"/>
        </w:rPr>
        <w:fldChar w:fldCharType="separate"/>
      </w:r>
      <w:r w:rsidR="00BC5729" w:rsidRPr="000E73CC">
        <w:rPr>
          <w:rFonts w:ascii="Times New Roman" w:hAnsi="Times New Roman" w:cs="Times New Roman"/>
          <w:sz w:val="24"/>
        </w:rPr>
        <w:t>(Feng et al., 2018)</w:t>
      </w:r>
      <w:r w:rsidR="00BC5729">
        <w:rPr>
          <w:rFonts w:ascii="Times New Roman" w:hAnsi="Times New Roman" w:cs="Times New Roman"/>
          <w:sz w:val="24"/>
          <w:szCs w:val="24"/>
        </w:rPr>
        <w:fldChar w:fldCharType="end"/>
      </w:r>
      <w:r w:rsidR="00FA267D" w:rsidRPr="00FA267D">
        <w:rPr>
          <w:rFonts w:ascii="Times New Roman" w:hAnsi="Times New Roman" w:cs="Times New Roman"/>
          <w:sz w:val="24"/>
          <w:szCs w:val="24"/>
        </w:rPr>
        <w:t xml:space="preserve">. </w:t>
      </w:r>
      <w:r w:rsidR="00B960F2">
        <w:rPr>
          <w:rFonts w:ascii="Times New Roman" w:hAnsi="Times New Roman" w:cs="Times New Roman"/>
          <w:sz w:val="24"/>
          <w:szCs w:val="24"/>
        </w:rPr>
        <w:t xml:space="preserve"> </w:t>
      </w:r>
    </w:p>
    <w:p w14:paraId="2AE94A1F" w14:textId="79A2FE05" w:rsidR="00272DA2" w:rsidRDefault="00272DA2" w:rsidP="00FA267D">
      <w:pPr>
        <w:tabs>
          <w:tab w:val="left" w:pos="90"/>
        </w:tabs>
        <w:ind w:left="180"/>
        <w:jc w:val="both"/>
        <w:rPr>
          <w:rFonts w:ascii="Times New Roman" w:hAnsi="Times New Roman" w:cs="Times New Roman"/>
          <w:sz w:val="24"/>
          <w:szCs w:val="24"/>
        </w:rPr>
      </w:pPr>
    </w:p>
    <w:p w14:paraId="7CF7F60E" w14:textId="42A58E9D" w:rsidR="00272DA2" w:rsidRPr="00FA267D" w:rsidRDefault="00272DA2" w:rsidP="00272DA2">
      <w:pPr>
        <w:tabs>
          <w:tab w:val="left" w:pos="90"/>
        </w:tabs>
        <w:ind w:left="180"/>
        <w:jc w:val="center"/>
        <w:rPr>
          <w:rFonts w:ascii="Times New Roman" w:hAnsi="Times New Roman" w:cs="Times New Roman"/>
          <w:sz w:val="24"/>
          <w:szCs w:val="24"/>
        </w:rPr>
      </w:pPr>
      <w:r w:rsidRPr="007A6BD7">
        <w:rPr>
          <w:rFonts w:ascii="Times New Roman" w:hAnsi="Times New Roman" w:cs="Times New Roman"/>
          <w:noProof/>
          <w:sz w:val="24"/>
          <w:szCs w:val="24"/>
        </w:rPr>
        <w:drawing>
          <wp:inline distT="0" distB="0" distL="0" distR="0" wp14:anchorId="672D9CE7" wp14:editId="5BE93A29">
            <wp:extent cx="4832598" cy="1130358"/>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32598" cy="1130358"/>
                    </a:xfrm>
                    <a:prstGeom prst="rect">
                      <a:avLst/>
                    </a:prstGeom>
                  </pic:spPr>
                </pic:pic>
              </a:graphicData>
            </a:graphic>
          </wp:inline>
        </w:drawing>
      </w:r>
    </w:p>
    <w:p w14:paraId="786D4767" w14:textId="77777777" w:rsidR="00FA267D" w:rsidRPr="00FA267D" w:rsidRDefault="00FA267D" w:rsidP="00FA267D">
      <w:pPr>
        <w:tabs>
          <w:tab w:val="left" w:pos="90"/>
        </w:tabs>
        <w:ind w:left="180"/>
        <w:jc w:val="both"/>
        <w:rPr>
          <w:rFonts w:ascii="Times New Roman" w:hAnsi="Times New Roman" w:cs="Times New Roman"/>
          <w:sz w:val="24"/>
          <w:szCs w:val="24"/>
        </w:rPr>
      </w:pPr>
      <w:r w:rsidRPr="00FA267D">
        <w:rPr>
          <w:rFonts w:ascii="Times New Roman" w:hAnsi="Times New Roman" w:cs="Times New Roman"/>
          <w:sz w:val="24"/>
          <w:szCs w:val="24"/>
        </w:rPr>
        <w:t xml:space="preserve"> </w:t>
      </w:r>
    </w:p>
    <w:p w14:paraId="12DAED78" w14:textId="618F2A3A" w:rsidR="00B63BBE" w:rsidRDefault="00441B32" w:rsidP="00FA267D">
      <w:pPr>
        <w:tabs>
          <w:tab w:val="left" w:pos="90"/>
        </w:tabs>
        <w:ind w:left="180"/>
        <w:jc w:val="both"/>
        <w:rPr>
          <w:rFonts w:ascii="Times New Roman" w:hAnsi="Times New Roman" w:cs="Times New Roman"/>
          <w:sz w:val="24"/>
          <w:szCs w:val="24"/>
        </w:rPr>
      </w:pPr>
      <w:r>
        <w:rPr>
          <w:rFonts w:ascii="Times New Roman" w:hAnsi="Times New Roman" w:cs="Times New Roman"/>
          <w:sz w:val="24"/>
          <w:szCs w:val="24"/>
        </w:rPr>
        <w:t xml:space="preserve">Some </w:t>
      </w:r>
      <w:r w:rsidR="00805945">
        <w:rPr>
          <w:rFonts w:ascii="Times New Roman" w:hAnsi="Times New Roman" w:cs="Times New Roman"/>
          <w:sz w:val="24"/>
          <w:szCs w:val="24"/>
        </w:rPr>
        <w:t>other</w:t>
      </w:r>
      <w:r>
        <w:rPr>
          <w:rFonts w:ascii="Times New Roman" w:hAnsi="Times New Roman" w:cs="Times New Roman"/>
          <w:sz w:val="24"/>
          <w:szCs w:val="24"/>
        </w:rPr>
        <w:t xml:space="preserve"> most prominent limitations include a slightly smaller quantum efficiency than their FPs counterparts, a </w:t>
      </w:r>
      <w:r w:rsidRPr="002044BF">
        <w:rPr>
          <w:rFonts w:ascii="Times New Roman" w:hAnsi="Times New Roman" w:cs="Times New Roman"/>
          <w:sz w:val="24"/>
          <w:szCs w:val="24"/>
        </w:rPr>
        <w:t xml:space="preserve">delay </w:t>
      </w:r>
      <w:r>
        <w:rPr>
          <w:rFonts w:ascii="Times New Roman" w:hAnsi="Times New Roman" w:cs="Times New Roman"/>
          <w:sz w:val="24"/>
          <w:szCs w:val="24"/>
        </w:rPr>
        <w:t xml:space="preserve">between the </w:t>
      </w:r>
      <w:r w:rsidR="00834CA4">
        <w:rPr>
          <w:rFonts w:ascii="Times New Roman" w:hAnsi="Times New Roman" w:cs="Times New Roman"/>
          <w:sz w:val="24"/>
          <w:szCs w:val="24"/>
        </w:rPr>
        <w:t>expression</w:t>
      </w:r>
      <w:r>
        <w:rPr>
          <w:rFonts w:ascii="Times New Roman" w:hAnsi="Times New Roman" w:cs="Times New Roman"/>
          <w:sz w:val="24"/>
          <w:szCs w:val="24"/>
        </w:rPr>
        <w:t xml:space="preserve"> of the </w:t>
      </w:r>
      <w:proofErr w:type="spellStart"/>
      <w:r>
        <w:rPr>
          <w:rFonts w:ascii="Times New Roman" w:hAnsi="Times New Roman" w:cs="Times New Roman"/>
          <w:sz w:val="24"/>
          <w:szCs w:val="24"/>
        </w:rPr>
        <w:t>sFP</w:t>
      </w:r>
      <w:proofErr w:type="spellEnd"/>
      <w:r>
        <w:rPr>
          <w:rFonts w:ascii="Times New Roman" w:hAnsi="Times New Roman" w:cs="Times New Roman"/>
          <w:sz w:val="24"/>
          <w:szCs w:val="24"/>
        </w:rPr>
        <w:t>-tagged</w:t>
      </w:r>
      <w:r w:rsidRPr="002044BF">
        <w:rPr>
          <w:rFonts w:ascii="Times New Roman" w:hAnsi="Times New Roman" w:cs="Times New Roman"/>
          <w:sz w:val="24"/>
          <w:szCs w:val="24"/>
        </w:rPr>
        <w:t xml:space="preserve"> proteins of interest and the fluorescent readout due to</w:t>
      </w:r>
      <w:r>
        <w:rPr>
          <w:rFonts w:ascii="Times New Roman" w:hAnsi="Times New Roman" w:cs="Times New Roman"/>
          <w:sz w:val="24"/>
          <w:szCs w:val="24"/>
        </w:rPr>
        <w:t xml:space="preserve"> time required for</w:t>
      </w:r>
      <w:r w:rsidRPr="002044BF">
        <w:rPr>
          <w:rFonts w:ascii="Times New Roman" w:hAnsi="Times New Roman" w:cs="Times New Roman"/>
          <w:sz w:val="24"/>
          <w:szCs w:val="24"/>
        </w:rPr>
        <w:t xml:space="preserve"> </w:t>
      </w:r>
      <w:proofErr w:type="spellStart"/>
      <w:r w:rsidRPr="002044BF">
        <w:rPr>
          <w:rFonts w:ascii="Times New Roman" w:hAnsi="Times New Roman" w:cs="Times New Roman"/>
          <w:sz w:val="24"/>
          <w:szCs w:val="24"/>
        </w:rPr>
        <w:t>sFP</w:t>
      </w:r>
      <w:proofErr w:type="spellEnd"/>
      <w:r w:rsidRPr="002044BF">
        <w:rPr>
          <w:rFonts w:ascii="Times New Roman" w:hAnsi="Times New Roman" w:cs="Times New Roman"/>
          <w:sz w:val="24"/>
          <w:szCs w:val="24"/>
        </w:rPr>
        <w:t xml:space="preserve"> complementation, proper protein folding, and chromophore maturation</w:t>
      </w:r>
      <w:r>
        <w:rPr>
          <w:rFonts w:ascii="Times New Roman" w:hAnsi="Times New Roman" w:cs="Times New Roman"/>
          <w:sz w:val="24"/>
          <w:szCs w:val="24"/>
        </w:rPr>
        <w:t xml:space="preserve">, and the inherent affinity for </w:t>
      </w:r>
      <w:proofErr w:type="spellStart"/>
      <w:r>
        <w:rPr>
          <w:rFonts w:ascii="Times New Roman" w:hAnsi="Times New Roman" w:cs="Times New Roman"/>
          <w:sz w:val="24"/>
          <w:szCs w:val="24"/>
        </w:rPr>
        <w:t>sFP</w:t>
      </w:r>
      <w:proofErr w:type="spellEnd"/>
      <w:r>
        <w:rPr>
          <w:rFonts w:ascii="Times New Roman" w:hAnsi="Times New Roman" w:cs="Times New Roman"/>
          <w:sz w:val="24"/>
          <w:szCs w:val="24"/>
        </w:rPr>
        <w:t xml:space="preserve"> fragments with one another which can lead to the creation of </w:t>
      </w:r>
      <w:r w:rsidRPr="00323340">
        <w:rPr>
          <w:rFonts w:ascii="Times New Roman" w:hAnsi="Times New Roman" w:cs="Times New Roman"/>
          <w:sz w:val="24"/>
          <w:szCs w:val="24"/>
        </w:rPr>
        <w:t>false</w:t>
      </w:r>
      <w:r w:rsidR="00872250">
        <w:rPr>
          <w:rFonts w:ascii="Times New Roman" w:hAnsi="Times New Roman" w:cs="Times New Roman"/>
          <w:sz w:val="24"/>
          <w:szCs w:val="24"/>
        </w:rPr>
        <w:t>-</w:t>
      </w:r>
      <w:r w:rsidRPr="00323340">
        <w:rPr>
          <w:rFonts w:ascii="Times New Roman" w:hAnsi="Times New Roman" w:cs="Times New Roman"/>
          <w:sz w:val="24"/>
          <w:szCs w:val="24"/>
        </w:rPr>
        <w:t>positive</w:t>
      </w:r>
      <w:r>
        <w:rPr>
          <w:rFonts w:ascii="Times New Roman" w:hAnsi="Times New Roman" w:cs="Times New Roman"/>
          <w:sz w:val="24"/>
          <w:szCs w:val="24"/>
        </w:rPr>
        <w:t xml:space="preserve"> signals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{"citationID":"Kn8TrDKF","properties":{"formattedCitation":"(K\\uc0\\u246{}ker et al., 2018; Romei &amp; Boxer, 2019)","plainCitation":"(Köker et al., 2018; Romei &amp; Boxer, 2019)","noteIndex":0},"citationItems":[{"id":3432,"uris":["http://zotero.org/users/local/TF2zpDmr/items/IAGIWQRS"],"uri":["http://zotero.org/users/local/TF2zpDmr/items/IAGIWQRS"],"itemData":{"id":3432,"type":"article-journal","abstract":"Many biotechniques use complementary split-fluorescent protein (sFPs) fragments to visualize protein-protein interactions, image cells by ensemble or single molecule fluorescence microscopy, or assemble nanomaterials and protein superstructures. Yet, the reassembly mechanisms of sFPs, including fragment binding rates, folding, chromophore maturation and overall photophysics remain poorly characterized. Here, we evolved asymmetric and self-complementing green, yellow and cyan sFPs together with their full-length equivalents (flFPs) and described their biochemical and photophysical properties in vitro and in cells. While re-assembled sFPs have spectral properties similar to flFPs, they display slightly reduced quantum yields and fluorescence lifetimes due to a less sturdy β-barrel structure. The complementation of recombinant sFPs expressed in vitro follows a conformational selection mechanism whereby the larger sFP fragments exist in a monomer-dimer equilibrium and only monomers are competent for fluorescence complementation. This bimolecular fragment interaction involves a slow and irreversible binding step, followed by chromophore maturation at a rate similar to that of flFPs. When expressed as fusion tags in cells, sFPs behave as monomers directly activated with synthetic complementary fragments. This study resulted in the development of sFP color variants having improved maturation kinetics, brightness, and photophysics for fluorescence microscopy imaging of cellular processes, including single molecule detection.","container-title":"Scientific Reports","DOI":"10.1038/s41598-018-23625-7","ISSN":"2045-2322","issue":"1","language":"en","note":"number: 1\npublisher: Nature Publishing Group","page":"5344","source":"www.nature.com","title":"Characterization of Split Fluorescent Protein Variants and Quantitative Analyses of Their Self-Assembly Process","volume":"8","author":[{"family":"Köker","given":"Tuğba"},{"family":"Fernandez","given":"Anthony"},{"family":"Pinaud","given":"Fabien"}],"issued":{"date-parts":[["2018",3,28]]}}},{"id":3439,"uris":["http://zotero.org/users/local/TF2zpDmr/items/4YQ9PVY5"],"uri":["http://zotero.org/users/local/TF2zpDmr/items/4YQ9PVY5"],"itemData":{"id":3439,"type":"article-journal","abstract":"Many proteins can be split into fragments that spontaneously reassemble, without covalent linkage, into a functional protein. For split green fluorescent proteins (GFPs), fragment reassembly leads to a fluorescent readout, which has been widely used to investigate protein–protein interactions. We review the scope and limitations of this approach as well as other diverse applications of split GFPs as versatile sensors, molecular glues, optogenetic tools, and platforms for photophysical studies.","container-title":"Annual review of biophysics","DOI":"10.1146/annurev-biophys-051013-022846","ISSN":"1936-122X","journalAbbreviation":"Annu Rev Biophys","note":"PMID: 30786230\nPMCID: PMC6537611","page":"19-44","source":"PubMed Central","title":"Split Green Fluorescent Proteins: Scope, Limitations, and Outlook","title-short":"Split Green Fluorescent Proteins","volume":"48","author":[{"family":"Romei","given":"Matthew G."},{"family":"Boxer","given":"Steven G."}],"issued":{"date-parts":[["2019",5,6]]}}}],"schema":"https://github.com/citation-style-language/schema/raw/master/csl-citation.json"} </w:instrText>
      </w:r>
      <w:r>
        <w:rPr>
          <w:rFonts w:ascii="Times New Roman" w:hAnsi="Times New Roman" w:cs="Times New Roman"/>
          <w:sz w:val="24"/>
          <w:szCs w:val="24"/>
        </w:rPr>
        <w:fldChar w:fldCharType="separate"/>
      </w:r>
      <w:r w:rsidRPr="00D20879">
        <w:rPr>
          <w:rFonts w:ascii="Times New Roman" w:hAnsi="Times New Roman" w:cs="Times New Roman"/>
          <w:sz w:val="24"/>
          <w:szCs w:val="24"/>
        </w:rPr>
        <w:t>(</w:t>
      </w:r>
      <w:proofErr w:type="spellStart"/>
      <w:r w:rsidRPr="00D20879">
        <w:rPr>
          <w:rFonts w:ascii="Times New Roman" w:hAnsi="Times New Roman" w:cs="Times New Roman"/>
          <w:sz w:val="24"/>
          <w:szCs w:val="24"/>
        </w:rPr>
        <w:t>Köker</w:t>
      </w:r>
      <w:proofErr w:type="spellEnd"/>
      <w:r w:rsidRPr="00D20879">
        <w:rPr>
          <w:rFonts w:ascii="Times New Roman" w:hAnsi="Times New Roman" w:cs="Times New Roman"/>
          <w:sz w:val="24"/>
          <w:szCs w:val="24"/>
        </w:rPr>
        <w:t xml:space="preserve"> et al., 2018; </w:t>
      </w:r>
      <w:proofErr w:type="spellStart"/>
      <w:r w:rsidRPr="00D20879">
        <w:rPr>
          <w:rFonts w:ascii="Times New Roman" w:hAnsi="Times New Roman" w:cs="Times New Roman"/>
          <w:sz w:val="24"/>
          <w:szCs w:val="24"/>
        </w:rPr>
        <w:t>Romei</w:t>
      </w:r>
      <w:proofErr w:type="spellEnd"/>
      <w:r w:rsidRPr="00D20879">
        <w:rPr>
          <w:rFonts w:ascii="Times New Roman" w:hAnsi="Times New Roman" w:cs="Times New Roman"/>
          <w:sz w:val="24"/>
          <w:szCs w:val="24"/>
        </w:rPr>
        <w:t xml:space="preserve"> &amp; Boxer, 2019)</w:t>
      </w:r>
      <w:r>
        <w:rPr>
          <w:rFonts w:ascii="Times New Roman" w:hAnsi="Times New Roman" w:cs="Times New Roman"/>
          <w:sz w:val="24"/>
          <w:szCs w:val="24"/>
        </w:rPr>
        <w:fldChar w:fldCharType="end"/>
      </w:r>
      <w:r>
        <w:rPr>
          <w:rFonts w:ascii="Times New Roman" w:hAnsi="Times New Roman" w:cs="Times New Roman"/>
          <w:sz w:val="24"/>
          <w:szCs w:val="24"/>
        </w:rPr>
        <w:t>.</w:t>
      </w:r>
      <w:r w:rsidR="00F04C8A">
        <w:rPr>
          <w:rFonts w:ascii="Times New Roman" w:hAnsi="Times New Roman" w:cs="Times New Roman"/>
          <w:sz w:val="24"/>
          <w:szCs w:val="24"/>
        </w:rPr>
        <w:t xml:space="preserve"> </w:t>
      </w:r>
      <w:proofErr w:type="spellStart"/>
      <w:r w:rsidR="00A920CB">
        <w:rPr>
          <w:rFonts w:ascii="Times New Roman" w:hAnsi="Times New Roman" w:cs="Times New Roman"/>
          <w:sz w:val="24"/>
          <w:szCs w:val="24"/>
        </w:rPr>
        <w:t>Romei</w:t>
      </w:r>
      <w:proofErr w:type="spellEnd"/>
      <w:r w:rsidR="00A920CB">
        <w:rPr>
          <w:rFonts w:ascii="Times New Roman" w:hAnsi="Times New Roman" w:cs="Times New Roman"/>
          <w:sz w:val="24"/>
          <w:szCs w:val="24"/>
        </w:rPr>
        <w:t xml:space="preserve"> and Boxer outline multiple areas of innovation designed to address these limitations, </w:t>
      </w:r>
      <w:proofErr w:type="gramStart"/>
      <w:r w:rsidR="00A920CB">
        <w:rPr>
          <w:rFonts w:ascii="Times New Roman" w:hAnsi="Times New Roman" w:cs="Times New Roman"/>
          <w:sz w:val="24"/>
          <w:szCs w:val="24"/>
        </w:rPr>
        <w:t>including</w:t>
      </w:r>
      <w:proofErr w:type="gramEnd"/>
      <w:r w:rsidR="00A920CB">
        <w:rPr>
          <w:rFonts w:ascii="Times New Roman" w:hAnsi="Times New Roman" w:cs="Times New Roman"/>
          <w:sz w:val="24"/>
          <w:szCs w:val="24"/>
        </w:rPr>
        <w:t xml:space="preserve"> </w:t>
      </w:r>
    </w:p>
    <w:p w14:paraId="4714C35B" w14:textId="77777777" w:rsidR="00B63BBE" w:rsidRDefault="00B63BBE" w:rsidP="00B63BBE">
      <w:pPr>
        <w:spacing w:line="200" w:lineRule="atLeast"/>
        <w:ind w:left="8617"/>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8699150" wp14:editId="64F88373">
            <wp:extent cx="762000" cy="20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203200"/>
                    </a:xfrm>
                    <a:prstGeom prst="rect">
                      <a:avLst/>
                    </a:prstGeom>
                    <a:noFill/>
                    <a:ln>
                      <a:noFill/>
                    </a:ln>
                  </pic:spPr>
                </pic:pic>
              </a:graphicData>
            </a:graphic>
          </wp:inline>
        </w:drawing>
      </w:r>
    </w:p>
    <w:p w14:paraId="02975028" w14:textId="77777777" w:rsidR="00B63BBE" w:rsidRDefault="00B63BBE" w:rsidP="00B63BBE">
      <w:pPr>
        <w:spacing w:before="11"/>
        <w:rPr>
          <w:rFonts w:ascii="Times New Roman" w:eastAsia="Times New Roman" w:hAnsi="Times New Roman" w:cs="Times New Roman"/>
          <w:sz w:val="4"/>
          <w:szCs w:val="4"/>
        </w:rPr>
      </w:pPr>
    </w:p>
    <w:p w14:paraId="01EAB6B2" w14:textId="77777777" w:rsidR="00B63BBE" w:rsidRDefault="00B63BBE" w:rsidP="00B63BBE">
      <w:pPr>
        <w:spacing w:line="20" w:lineRule="atLeast"/>
        <w:ind w:left="109"/>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5FE629A1">
          <v:group id="_x0000_s1062" alt="" style="width:482.3pt;height:.4pt;mso-position-horizontal-relative:char;mso-position-vertical-relative:line" coordsize="9646,8">
            <v:group id="_x0000_s1063" alt="" style="position:absolute;left:4;top:4;width:9638;height:2" coordorigin="4,4" coordsize="9638,2">
              <v:shape id="_x0000_s1064" alt="" style="position:absolute;left:4;top:4;width:9638;height:2" coordorigin="4,4" coordsize="9638,0" path="m4,4r9638,e" filled="f" strokeweight=".14058mm">
                <v:path arrowok="t"/>
              </v:shape>
            </v:group>
            <w10:anchorlock/>
          </v:group>
        </w:pict>
      </w:r>
    </w:p>
    <w:p w14:paraId="246F8BEE" w14:textId="77777777" w:rsidR="00B63BBE" w:rsidRDefault="00B63BBE" w:rsidP="00B63BBE">
      <w:pPr>
        <w:spacing w:before="2"/>
        <w:rPr>
          <w:rFonts w:ascii="Times New Roman" w:eastAsia="Times New Roman" w:hAnsi="Times New Roman" w:cs="Times New Roman"/>
          <w:b/>
          <w:bCs/>
          <w:sz w:val="10"/>
          <w:szCs w:val="10"/>
        </w:rPr>
      </w:pPr>
    </w:p>
    <w:p w14:paraId="6657FBF3" w14:textId="77777777" w:rsidR="00B63BBE" w:rsidRPr="00A65C22" w:rsidRDefault="00B63BBE" w:rsidP="00B63BBE">
      <w:pPr>
        <w:rPr>
          <w:rFonts w:ascii="Times New Roman" w:eastAsia="Times New Roman" w:hAnsi="Times New Roman" w:cs="Times New Roman"/>
          <w:sz w:val="20"/>
          <w:szCs w:val="20"/>
          <w:lang w:val="es-US"/>
        </w:rPr>
      </w:pPr>
    </w:p>
    <w:p w14:paraId="799BC556" w14:textId="148D3CF2" w:rsidR="00441B32" w:rsidRDefault="00872250" w:rsidP="00FA267D">
      <w:pPr>
        <w:tabs>
          <w:tab w:val="left" w:pos="90"/>
        </w:tabs>
        <w:ind w:left="180"/>
        <w:jc w:val="both"/>
        <w:rPr>
          <w:rFonts w:ascii="Times New Roman" w:hAnsi="Times New Roman" w:cs="Times New Roman"/>
          <w:sz w:val="24"/>
          <w:szCs w:val="24"/>
        </w:rPr>
      </w:pPr>
      <w:r>
        <w:rPr>
          <w:rFonts w:ascii="Times New Roman" w:hAnsi="Times New Roman" w:cs="Times New Roman"/>
          <w:sz w:val="24"/>
          <w:szCs w:val="24"/>
        </w:rPr>
        <w:t xml:space="preserve">introducing </w:t>
      </w:r>
      <w:r w:rsidR="005F0B2F">
        <w:rPr>
          <w:rFonts w:ascii="Times New Roman" w:hAnsi="Times New Roman" w:cs="Times New Roman"/>
          <w:sz w:val="24"/>
          <w:szCs w:val="24"/>
        </w:rPr>
        <w:t xml:space="preserve">mutations in the </w:t>
      </w:r>
      <w:proofErr w:type="spellStart"/>
      <w:r w:rsidR="005F0B2F">
        <w:rPr>
          <w:rFonts w:ascii="Times New Roman" w:hAnsi="Times New Roman" w:cs="Times New Roman"/>
          <w:sz w:val="24"/>
          <w:szCs w:val="24"/>
        </w:rPr>
        <w:t>sFP</w:t>
      </w:r>
      <w:proofErr w:type="spellEnd"/>
      <w:r w:rsidR="005F0B2F">
        <w:rPr>
          <w:rFonts w:ascii="Times New Roman" w:hAnsi="Times New Roman" w:cs="Times New Roman"/>
          <w:sz w:val="24"/>
          <w:szCs w:val="24"/>
        </w:rPr>
        <w:t xml:space="preserve"> genome that will allow for protein folding and complementation at </w:t>
      </w:r>
      <w:r w:rsidR="005F0B2F" w:rsidRPr="00A920CB">
        <w:rPr>
          <w:rFonts w:ascii="Times New Roman" w:hAnsi="Times New Roman" w:cs="Times New Roman"/>
          <w:sz w:val="24"/>
          <w:szCs w:val="24"/>
        </w:rPr>
        <w:t>relevant physiological temperatures.</w:t>
      </w:r>
      <w:r w:rsidR="005F0B2F">
        <w:rPr>
          <w:rFonts w:ascii="Times New Roman" w:hAnsi="Times New Roman" w:cs="Times New Roman"/>
          <w:sz w:val="24"/>
          <w:szCs w:val="24"/>
        </w:rPr>
        <w:t xml:space="preserve"> It will be </w:t>
      </w:r>
      <w:r>
        <w:rPr>
          <w:rFonts w:ascii="Times New Roman" w:hAnsi="Times New Roman" w:cs="Times New Roman"/>
          <w:sz w:val="24"/>
          <w:szCs w:val="24"/>
        </w:rPr>
        <w:t>essential</w:t>
      </w:r>
      <w:r w:rsidR="005F0B2F">
        <w:rPr>
          <w:rFonts w:ascii="Times New Roman" w:hAnsi="Times New Roman" w:cs="Times New Roman"/>
          <w:sz w:val="24"/>
          <w:szCs w:val="24"/>
        </w:rPr>
        <w:t xml:space="preserve"> to continue following the large body of research dedicated to addressing these limitations to ensure that </w:t>
      </w:r>
      <w:r w:rsidR="00F04C8A">
        <w:rPr>
          <w:rFonts w:ascii="Times New Roman" w:hAnsi="Times New Roman" w:cs="Times New Roman"/>
          <w:sz w:val="24"/>
          <w:szCs w:val="24"/>
        </w:rPr>
        <w:t xml:space="preserve">any </w:t>
      </w:r>
      <w:proofErr w:type="spellStart"/>
      <w:r w:rsidR="00F04C8A">
        <w:rPr>
          <w:rFonts w:ascii="Times New Roman" w:hAnsi="Times New Roman" w:cs="Times New Roman"/>
          <w:sz w:val="24"/>
          <w:szCs w:val="24"/>
        </w:rPr>
        <w:t>sFP</w:t>
      </w:r>
      <w:proofErr w:type="spellEnd"/>
      <w:r w:rsidR="00F04C8A">
        <w:rPr>
          <w:rFonts w:ascii="Times New Roman" w:hAnsi="Times New Roman" w:cs="Times New Roman"/>
          <w:sz w:val="24"/>
          <w:szCs w:val="24"/>
        </w:rPr>
        <w:t xml:space="preserve"> utilized in a research study is of the highest quality and efficiency.</w:t>
      </w:r>
      <w:r w:rsidR="00441B32">
        <w:rPr>
          <w:rFonts w:ascii="Times New Roman" w:hAnsi="Times New Roman" w:cs="Times New Roman"/>
          <w:sz w:val="24"/>
          <w:szCs w:val="24"/>
        </w:rPr>
        <w:t xml:space="preserve">  </w:t>
      </w:r>
    </w:p>
    <w:p w14:paraId="3F5E08F6" w14:textId="77777777" w:rsidR="00441B32" w:rsidRDefault="00441B32" w:rsidP="00FA267D">
      <w:pPr>
        <w:tabs>
          <w:tab w:val="left" w:pos="90"/>
        </w:tabs>
        <w:ind w:left="180"/>
        <w:jc w:val="both"/>
        <w:rPr>
          <w:rFonts w:ascii="Times New Roman" w:hAnsi="Times New Roman" w:cs="Times New Roman"/>
          <w:sz w:val="24"/>
          <w:szCs w:val="24"/>
        </w:rPr>
      </w:pPr>
    </w:p>
    <w:p w14:paraId="30134368" w14:textId="77777777" w:rsidR="00430B4B" w:rsidRDefault="00430B4B">
      <w:pPr>
        <w:spacing w:before="9"/>
        <w:rPr>
          <w:rFonts w:ascii="Times New Roman" w:eastAsia="Times New Roman" w:hAnsi="Times New Roman" w:cs="Times New Roman"/>
          <w:sz w:val="29"/>
          <w:szCs w:val="29"/>
        </w:rPr>
      </w:pPr>
    </w:p>
    <w:p w14:paraId="6E0DAE0B" w14:textId="77777777" w:rsidR="00430B4B" w:rsidRDefault="00A02031">
      <w:pPr>
        <w:pStyle w:val="Heading1"/>
        <w:numPr>
          <w:ilvl w:val="0"/>
          <w:numId w:val="2"/>
        </w:numPr>
        <w:tabs>
          <w:tab w:val="left" w:pos="598"/>
        </w:tabs>
        <w:spacing w:before="67"/>
        <w:rPr>
          <w:b w:val="0"/>
          <w:bCs w:val="0"/>
        </w:rPr>
      </w:pPr>
      <w:bookmarkStart w:id="2" w:name="Conclusions"/>
      <w:bookmarkEnd w:id="2"/>
      <w:r>
        <w:rPr>
          <w:w w:val="115"/>
        </w:rPr>
        <w:t>Conclusions</w:t>
      </w:r>
    </w:p>
    <w:p w14:paraId="1DDABDDB" w14:textId="77777777" w:rsidR="00430B4B" w:rsidRDefault="00430B4B">
      <w:pPr>
        <w:spacing w:before="2"/>
        <w:rPr>
          <w:rFonts w:ascii="Times New Roman" w:eastAsia="Times New Roman" w:hAnsi="Times New Roman" w:cs="Times New Roman"/>
          <w:b/>
          <w:bCs/>
          <w:sz w:val="10"/>
          <w:szCs w:val="10"/>
        </w:rPr>
      </w:pPr>
    </w:p>
    <w:p w14:paraId="6435C410" w14:textId="468C83DD" w:rsidR="00B70E99" w:rsidRPr="00FA267D" w:rsidRDefault="00E3487A" w:rsidP="00B70E99">
      <w:pPr>
        <w:tabs>
          <w:tab w:val="left" w:pos="90"/>
        </w:tabs>
        <w:ind w:left="180"/>
        <w:jc w:val="both"/>
        <w:rPr>
          <w:rFonts w:ascii="Times New Roman" w:hAnsi="Times New Roman" w:cs="Times New Roman"/>
          <w:sz w:val="24"/>
          <w:szCs w:val="24"/>
        </w:rPr>
        <w:sectPr w:rsidR="00B70E99" w:rsidRPr="00FA267D" w:rsidSect="00B70E99">
          <w:footerReference w:type="default" r:id="rId12"/>
          <w:pgSz w:w="11910" w:h="16840"/>
          <w:pgMar w:top="500" w:right="980" w:bottom="1560" w:left="1020" w:header="720" w:footer="1376" w:gutter="0"/>
          <w:pgNumType w:start="1"/>
          <w:cols w:space="720"/>
        </w:sectPr>
      </w:pPr>
      <w:r>
        <w:rPr>
          <w:rFonts w:ascii="Times New Roman" w:hAnsi="Times New Roman" w:cs="Times New Roman"/>
          <w:sz w:val="24"/>
          <w:szCs w:val="24"/>
        </w:rPr>
        <w:t xml:space="preserve">Ultimately, </w:t>
      </w:r>
      <w:proofErr w:type="spellStart"/>
      <w:r>
        <w:rPr>
          <w:rFonts w:ascii="Times New Roman" w:hAnsi="Times New Roman" w:cs="Times New Roman"/>
          <w:sz w:val="24"/>
          <w:szCs w:val="24"/>
        </w:rPr>
        <w:t>sFPs</w:t>
      </w:r>
      <w:proofErr w:type="spellEnd"/>
      <w:r>
        <w:rPr>
          <w:rFonts w:ascii="Times New Roman" w:hAnsi="Times New Roman" w:cs="Times New Roman"/>
          <w:sz w:val="24"/>
          <w:szCs w:val="24"/>
        </w:rPr>
        <w:t xml:space="preserve"> can be utilized as a novel tool and viable alternative in studying binary cell fate decisions</w:t>
      </w:r>
      <w:r w:rsidR="00CF4A52">
        <w:rPr>
          <w:rFonts w:ascii="Times New Roman" w:hAnsi="Times New Roman" w:cs="Times New Roman"/>
          <w:sz w:val="24"/>
          <w:szCs w:val="24"/>
        </w:rPr>
        <w:t xml:space="preserve">. </w:t>
      </w:r>
      <w:r w:rsidR="002F2F10">
        <w:rPr>
          <w:rFonts w:ascii="Times New Roman" w:hAnsi="Times New Roman" w:cs="Times New Roman"/>
          <w:sz w:val="24"/>
          <w:szCs w:val="24"/>
        </w:rPr>
        <w:t>In</w:t>
      </w:r>
      <w:r>
        <w:rPr>
          <w:rFonts w:ascii="Times New Roman" w:hAnsi="Times New Roman" w:cs="Times New Roman"/>
          <w:sz w:val="24"/>
          <w:szCs w:val="24"/>
        </w:rPr>
        <w:t xml:space="preserve">corporating the large domains of both the mNG2 and sfCherry3C </w:t>
      </w:r>
      <w:proofErr w:type="spellStart"/>
      <w:r>
        <w:rPr>
          <w:rFonts w:ascii="Times New Roman" w:hAnsi="Times New Roman" w:cs="Times New Roman"/>
          <w:sz w:val="24"/>
          <w:szCs w:val="24"/>
        </w:rPr>
        <w:t>sFPs</w:t>
      </w:r>
      <w:proofErr w:type="spellEnd"/>
      <w:r w:rsidR="00702BD1">
        <w:rPr>
          <w:rFonts w:ascii="Times New Roman" w:hAnsi="Times New Roman" w:cs="Times New Roman"/>
          <w:sz w:val="24"/>
          <w:szCs w:val="24"/>
        </w:rPr>
        <w:t xml:space="preserve">, among other </w:t>
      </w:r>
      <w:proofErr w:type="spellStart"/>
      <w:r w:rsidR="00702BD1">
        <w:rPr>
          <w:rFonts w:ascii="Times New Roman" w:hAnsi="Times New Roman" w:cs="Times New Roman"/>
          <w:sz w:val="24"/>
          <w:szCs w:val="24"/>
        </w:rPr>
        <w:t>sFPs</w:t>
      </w:r>
      <w:proofErr w:type="spellEnd"/>
      <w:r w:rsidR="00702BD1">
        <w:rPr>
          <w:rFonts w:ascii="Times New Roman" w:hAnsi="Times New Roman" w:cs="Times New Roman"/>
          <w:sz w:val="24"/>
          <w:szCs w:val="24"/>
        </w:rPr>
        <w:t>,</w:t>
      </w:r>
      <w:r>
        <w:rPr>
          <w:rFonts w:ascii="Times New Roman" w:hAnsi="Times New Roman" w:cs="Times New Roman"/>
          <w:sz w:val="24"/>
          <w:szCs w:val="24"/>
        </w:rPr>
        <w:t xml:space="preserve"> </w:t>
      </w:r>
      <w:r w:rsidR="003C5D9D">
        <w:rPr>
          <w:rFonts w:ascii="Times New Roman" w:hAnsi="Times New Roman" w:cs="Times New Roman"/>
          <w:sz w:val="24"/>
          <w:szCs w:val="24"/>
        </w:rPr>
        <w:t xml:space="preserve">at specific loci </w:t>
      </w:r>
      <w:r w:rsidR="003C5D9D">
        <w:rPr>
          <w:rFonts w:ascii="Times New Roman" w:hAnsi="Times New Roman" w:cs="Times New Roman"/>
          <w:sz w:val="24"/>
          <w:szCs w:val="24"/>
        </w:rPr>
        <w:t>in</w:t>
      </w:r>
      <w:r w:rsidR="003C5D9D" w:rsidRPr="00FA267D">
        <w:rPr>
          <w:rFonts w:ascii="Times New Roman" w:hAnsi="Times New Roman" w:cs="Times New Roman"/>
          <w:sz w:val="24"/>
          <w:szCs w:val="24"/>
        </w:rPr>
        <w:t xml:space="preserve"> human embryonic stem cells (</w:t>
      </w:r>
      <w:proofErr w:type="spellStart"/>
      <w:r w:rsidR="003C5D9D" w:rsidRPr="00FA267D">
        <w:rPr>
          <w:rFonts w:ascii="Times New Roman" w:hAnsi="Times New Roman" w:cs="Times New Roman"/>
          <w:sz w:val="24"/>
          <w:szCs w:val="24"/>
        </w:rPr>
        <w:t>hESC</w:t>
      </w:r>
      <w:proofErr w:type="spellEnd"/>
      <w:r w:rsidR="003C5D9D" w:rsidRPr="00FA267D">
        <w:rPr>
          <w:rFonts w:ascii="Times New Roman" w:hAnsi="Times New Roman" w:cs="Times New Roman"/>
          <w:sz w:val="24"/>
          <w:szCs w:val="24"/>
        </w:rPr>
        <w:t>)</w:t>
      </w:r>
      <w:r w:rsidR="006B5CC5">
        <w:rPr>
          <w:rFonts w:ascii="Times New Roman" w:hAnsi="Times New Roman" w:cs="Times New Roman"/>
          <w:sz w:val="24"/>
          <w:szCs w:val="24"/>
        </w:rPr>
        <w:t>,</w:t>
      </w:r>
      <w:r w:rsidR="003C5D9D" w:rsidRPr="00FA267D">
        <w:rPr>
          <w:rFonts w:ascii="Times New Roman" w:hAnsi="Times New Roman" w:cs="Times New Roman"/>
          <w:sz w:val="24"/>
          <w:szCs w:val="24"/>
        </w:rPr>
        <w:t xml:space="preserve"> </w:t>
      </w:r>
      <w:r>
        <w:rPr>
          <w:rFonts w:ascii="Times New Roman" w:hAnsi="Times New Roman" w:cs="Times New Roman"/>
          <w:sz w:val="24"/>
          <w:szCs w:val="24"/>
        </w:rPr>
        <w:t xml:space="preserve">can </w:t>
      </w:r>
      <w:r w:rsidR="00B70E99" w:rsidRPr="00FA267D">
        <w:rPr>
          <w:rFonts w:ascii="Times New Roman" w:hAnsi="Times New Roman" w:cs="Times New Roman"/>
          <w:sz w:val="24"/>
          <w:szCs w:val="24"/>
        </w:rPr>
        <w:t>allow for the simultaneous live tracking of two proteins of interest.</w:t>
      </w:r>
      <w:r w:rsidR="009808C4">
        <w:rPr>
          <w:rFonts w:ascii="Times New Roman" w:hAnsi="Times New Roman" w:cs="Times New Roman"/>
          <w:sz w:val="24"/>
          <w:szCs w:val="24"/>
        </w:rPr>
        <w:t xml:space="preserve"> </w:t>
      </w:r>
      <w:r w:rsidR="00D069E8">
        <w:rPr>
          <w:rFonts w:ascii="Times New Roman" w:hAnsi="Times New Roman" w:cs="Times New Roman"/>
          <w:sz w:val="24"/>
          <w:szCs w:val="24"/>
        </w:rPr>
        <w:t xml:space="preserve">The small domains of the </w:t>
      </w:r>
      <w:proofErr w:type="spellStart"/>
      <w:r w:rsidR="009808C4">
        <w:rPr>
          <w:rFonts w:ascii="Times New Roman" w:hAnsi="Times New Roman" w:cs="Times New Roman"/>
          <w:sz w:val="24"/>
          <w:szCs w:val="24"/>
        </w:rPr>
        <w:t>sFPs</w:t>
      </w:r>
      <w:proofErr w:type="spellEnd"/>
      <w:r w:rsidR="009808C4">
        <w:rPr>
          <w:rFonts w:ascii="Times New Roman" w:hAnsi="Times New Roman" w:cs="Times New Roman"/>
          <w:sz w:val="24"/>
          <w:szCs w:val="24"/>
        </w:rPr>
        <w:t xml:space="preserve"> can</w:t>
      </w:r>
      <w:r w:rsidR="00C12A2C">
        <w:rPr>
          <w:rFonts w:ascii="Times New Roman" w:hAnsi="Times New Roman" w:cs="Times New Roman"/>
          <w:sz w:val="24"/>
          <w:szCs w:val="24"/>
        </w:rPr>
        <w:t xml:space="preserve"> then</w:t>
      </w:r>
      <w:r w:rsidR="009808C4">
        <w:rPr>
          <w:rFonts w:ascii="Times New Roman" w:hAnsi="Times New Roman" w:cs="Times New Roman"/>
          <w:sz w:val="24"/>
          <w:szCs w:val="24"/>
        </w:rPr>
        <w:t xml:space="preserve"> </w:t>
      </w:r>
      <w:r w:rsidR="00CC07C7">
        <w:rPr>
          <w:rFonts w:ascii="Times New Roman" w:hAnsi="Times New Roman" w:cs="Times New Roman"/>
          <w:sz w:val="24"/>
          <w:szCs w:val="24"/>
        </w:rPr>
        <w:t xml:space="preserve">incorporated into the genetic loci of genes of interest to create stem cell lines to study and </w:t>
      </w:r>
      <w:r w:rsidR="00CC07C7" w:rsidRPr="00FA267D">
        <w:rPr>
          <w:rFonts w:ascii="Times New Roman" w:hAnsi="Times New Roman" w:cs="Times New Roman"/>
          <w:sz w:val="24"/>
          <w:szCs w:val="24"/>
        </w:rPr>
        <w:t>more effectively track gene expression</w:t>
      </w:r>
      <w:r w:rsidR="00B70E99" w:rsidRPr="00FA267D">
        <w:rPr>
          <w:rFonts w:ascii="Times New Roman" w:hAnsi="Times New Roman" w:cs="Times New Roman"/>
          <w:sz w:val="24"/>
          <w:szCs w:val="24"/>
        </w:rPr>
        <w:t xml:space="preserve">. </w:t>
      </w:r>
      <w:r w:rsidR="00F04C8A">
        <w:rPr>
          <w:rFonts w:ascii="Times New Roman" w:hAnsi="Times New Roman" w:cs="Times New Roman"/>
          <w:sz w:val="24"/>
          <w:szCs w:val="24"/>
        </w:rPr>
        <w:t xml:space="preserve">However, it will be important to continue modifying </w:t>
      </w:r>
      <w:proofErr w:type="spellStart"/>
      <w:r w:rsidR="00F04C8A">
        <w:rPr>
          <w:rFonts w:ascii="Times New Roman" w:hAnsi="Times New Roman" w:cs="Times New Roman"/>
          <w:sz w:val="24"/>
          <w:szCs w:val="24"/>
        </w:rPr>
        <w:t>sFP</w:t>
      </w:r>
      <w:proofErr w:type="spellEnd"/>
      <w:r w:rsidR="00F04C8A">
        <w:rPr>
          <w:rFonts w:ascii="Times New Roman" w:hAnsi="Times New Roman" w:cs="Times New Roman"/>
          <w:sz w:val="24"/>
          <w:szCs w:val="24"/>
        </w:rPr>
        <w:t xml:space="preserve"> structure and technology to address </w:t>
      </w:r>
      <w:r w:rsidR="00DB1EA4">
        <w:rPr>
          <w:rFonts w:ascii="Times New Roman" w:hAnsi="Times New Roman" w:cs="Times New Roman"/>
          <w:sz w:val="24"/>
          <w:szCs w:val="24"/>
        </w:rPr>
        <w:t>signific</w:t>
      </w:r>
      <w:r w:rsidR="00F04C8A">
        <w:rPr>
          <w:rFonts w:ascii="Times New Roman" w:hAnsi="Times New Roman" w:cs="Times New Roman"/>
          <w:sz w:val="24"/>
          <w:szCs w:val="24"/>
        </w:rPr>
        <w:t>ant limitations to their use</w:t>
      </w:r>
      <w:r w:rsidR="00F04C8A">
        <w:rPr>
          <w:rFonts w:ascii="Times New Roman" w:hAnsi="Times New Roman" w:cs="Times New Roman"/>
          <w:sz w:val="24"/>
          <w:szCs w:val="24"/>
        </w:rPr>
        <w:t>.</w:t>
      </w:r>
    </w:p>
    <w:p w14:paraId="52632B17" w14:textId="30A6BB73" w:rsidR="00B70E99" w:rsidRDefault="00B70E99">
      <w:pPr>
        <w:pStyle w:val="BodyText"/>
        <w:spacing w:before="71" w:line="249" w:lineRule="auto"/>
        <w:ind w:left="108" w:right="111" w:firstLine="5"/>
        <w:jc w:val="both"/>
        <w:rPr>
          <w:w w:val="105"/>
        </w:rPr>
      </w:pPr>
    </w:p>
    <w:p w14:paraId="14EA522B" w14:textId="3B775774" w:rsidR="00A65C22" w:rsidRDefault="00A65C22" w:rsidP="00A65C22">
      <w:pPr>
        <w:spacing w:line="200" w:lineRule="atLeast"/>
        <w:ind w:left="8617"/>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54A3897" wp14:editId="68666681">
            <wp:extent cx="762000"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203200"/>
                    </a:xfrm>
                    <a:prstGeom prst="rect">
                      <a:avLst/>
                    </a:prstGeom>
                    <a:noFill/>
                    <a:ln>
                      <a:noFill/>
                    </a:ln>
                  </pic:spPr>
                </pic:pic>
              </a:graphicData>
            </a:graphic>
          </wp:inline>
        </w:drawing>
      </w:r>
    </w:p>
    <w:p w14:paraId="7C5EF4F0" w14:textId="77777777" w:rsidR="00A65C22" w:rsidRDefault="00A65C22" w:rsidP="00A65C22">
      <w:pPr>
        <w:spacing w:before="11"/>
        <w:rPr>
          <w:rFonts w:ascii="Times New Roman" w:eastAsia="Times New Roman" w:hAnsi="Times New Roman" w:cs="Times New Roman"/>
          <w:sz w:val="4"/>
          <w:szCs w:val="4"/>
        </w:rPr>
      </w:pPr>
    </w:p>
    <w:p w14:paraId="61E799AA" w14:textId="77777777" w:rsidR="00A65C22" w:rsidRDefault="006D3186" w:rsidP="00A65C22">
      <w:pPr>
        <w:spacing w:line="20" w:lineRule="atLeast"/>
        <w:ind w:left="109"/>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2B69CD00">
          <v:group id="_x0000_s1052" alt="" style="width:482.3pt;height:.4pt;mso-position-horizontal-relative:char;mso-position-vertical-relative:line" coordsize="9646,8">
            <v:group id="_x0000_s1053" alt="" style="position:absolute;left:4;top:4;width:9638;height:2" coordorigin="4,4" coordsize="9638,2">
              <v:shape id="_x0000_s1054" alt="" style="position:absolute;left:4;top:4;width:9638;height:2" coordorigin="4,4" coordsize="9638,0" path="m4,4r9638,e" filled="f" strokeweight=".14058mm">
                <v:path arrowok="t"/>
              </v:shape>
            </v:group>
            <w10:anchorlock/>
          </v:group>
        </w:pict>
      </w:r>
    </w:p>
    <w:p w14:paraId="28AA2FE4" w14:textId="77777777" w:rsidR="00A65C22" w:rsidRDefault="00A65C22" w:rsidP="00A65C22">
      <w:pPr>
        <w:spacing w:before="2"/>
        <w:rPr>
          <w:rFonts w:ascii="Times New Roman" w:eastAsia="Times New Roman" w:hAnsi="Times New Roman" w:cs="Times New Roman"/>
          <w:b/>
          <w:bCs/>
          <w:sz w:val="10"/>
          <w:szCs w:val="10"/>
        </w:rPr>
      </w:pPr>
    </w:p>
    <w:p w14:paraId="17AC3DBD" w14:textId="77777777" w:rsidR="00A65C22" w:rsidRPr="00A65C22" w:rsidRDefault="00A65C22" w:rsidP="00A65C22">
      <w:pPr>
        <w:rPr>
          <w:rFonts w:ascii="Times New Roman" w:eastAsia="Times New Roman" w:hAnsi="Times New Roman" w:cs="Times New Roman"/>
          <w:sz w:val="20"/>
          <w:szCs w:val="20"/>
          <w:lang w:val="es-US"/>
        </w:rPr>
      </w:pPr>
    </w:p>
    <w:p w14:paraId="45C93175" w14:textId="77777777" w:rsidR="00A65C22" w:rsidRDefault="00A65C22" w:rsidP="00A65C22">
      <w:pPr>
        <w:pStyle w:val="Heading1"/>
        <w:ind w:left="113" w:firstLine="0"/>
        <w:jc w:val="both"/>
        <w:rPr>
          <w:b w:val="0"/>
          <w:bCs w:val="0"/>
        </w:rPr>
      </w:pPr>
      <w:r>
        <w:rPr>
          <w:w w:val="115"/>
        </w:rPr>
        <w:t>References</w:t>
      </w:r>
    </w:p>
    <w:p w14:paraId="52C90458" w14:textId="77777777" w:rsidR="00F73669" w:rsidRPr="00F73669" w:rsidRDefault="00F73669" w:rsidP="00F73669">
      <w:pPr>
        <w:pStyle w:val="Bibliography"/>
        <w:rPr>
          <w:rFonts w:ascii="Times New Roman" w:hAnsi="Times New Roman" w:cs="Times New Roman"/>
          <w:sz w:val="20"/>
        </w:rPr>
      </w:pPr>
      <w:r>
        <w:rPr>
          <w:w w:val="105"/>
          <w:sz w:val="20"/>
        </w:rPr>
        <w:fldChar w:fldCharType="begin"/>
      </w:r>
      <w:r>
        <w:rPr>
          <w:w w:val="105"/>
          <w:sz w:val="20"/>
        </w:rPr>
        <w:instrText xml:space="preserve"> ADDIN ZOTERO_BIBL {"uncited":[],"omitted":[],"custom":[]} CSL_BIBLIOGRAPHY </w:instrText>
      </w:r>
      <w:r>
        <w:rPr>
          <w:w w:val="105"/>
          <w:sz w:val="20"/>
        </w:rPr>
        <w:fldChar w:fldCharType="separate"/>
      </w:r>
      <w:r w:rsidRPr="00F73669">
        <w:rPr>
          <w:rFonts w:ascii="Times New Roman" w:hAnsi="Times New Roman" w:cs="Times New Roman"/>
          <w:sz w:val="20"/>
        </w:rPr>
        <w:t xml:space="preserve">Arnold, S. J., &amp; Robertson, E. J. (2009). Making a commitment: Cell lineage allocation and axis patterning in the early mouse embryo. </w:t>
      </w:r>
      <w:r w:rsidRPr="00F73669">
        <w:rPr>
          <w:rFonts w:ascii="Times New Roman" w:hAnsi="Times New Roman" w:cs="Times New Roman"/>
          <w:i/>
          <w:iCs/>
          <w:sz w:val="20"/>
        </w:rPr>
        <w:t>Nature Reviews Molecular Cell Biology</w:t>
      </w:r>
      <w:r w:rsidRPr="00F73669">
        <w:rPr>
          <w:rFonts w:ascii="Times New Roman" w:hAnsi="Times New Roman" w:cs="Times New Roman"/>
          <w:sz w:val="20"/>
        </w:rPr>
        <w:t xml:space="preserve">, </w:t>
      </w:r>
      <w:r w:rsidRPr="00F73669">
        <w:rPr>
          <w:rFonts w:ascii="Times New Roman" w:hAnsi="Times New Roman" w:cs="Times New Roman"/>
          <w:i/>
          <w:iCs/>
          <w:sz w:val="20"/>
        </w:rPr>
        <w:t>10</w:t>
      </w:r>
      <w:r w:rsidRPr="00F73669">
        <w:rPr>
          <w:rFonts w:ascii="Times New Roman" w:hAnsi="Times New Roman" w:cs="Times New Roman"/>
          <w:sz w:val="20"/>
        </w:rPr>
        <w:t>(2), 91–103. https://doi.org/10.1038/nrm2618</w:t>
      </w:r>
    </w:p>
    <w:p w14:paraId="04B8945D" w14:textId="77777777" w:rsidR="00F73669" w:rsidRPr="00F73669" w:rsidRDefault="00F73669" w:rsidP="00F73669">
      <w:pPr>
        <w:pStyle w:val="Bibliography"/>
        <w:rPr>
          <w:rFonts w:ascii="Times New Roman" w:hAnsi="Times New Roman" w:cs="Times New Roman"/>
          <w:sz w:val="20"/>
        </w:rPr>
      </w:pPr>
      <w:r w:rsidRPr="00F73669">
        <w:rPr>
          <w:rFonts w:ascii="Times New Roman" w:hAnsi="Times New Roman" w:cs="Times New Roman"/>
          <w:sz w:val="20"/>
        </w:rPr>
        <w:t xml:space="preserve">Christian, M., Cermak, T., Doyle, E. L., Schmidt, C., Zhang, F., Hummel, A., </w:t>
      </w:r>
      <w:proofErr w:type="spellStart"/>
      <w:r w:rsidRPr="00F73669">
        <w:rPr>
          <w:rFonts w:ascii="Times New Roman" w:hAnsi="Times New Roman" w:cs="Times New Roman"/>
          <w:sz w:val="20"/>
        </w:rPr>
        <w:t>Bogdanove</w:t>
      </w:r>
      <w:proofErr w:type="spellEnd"/>
      <w:r w:rsidRPr="00F73669">
        <w:rPr>
          <w:rFonts w:ascii="Times New Roman" w:hAnsi="Times New Roman" w:cs="Times New Roman"/>
          <w:sz w:val="20"/>
        </w:rPr>
        <w:t xml:space="preserve">, A. J., &amp; </w:t>
      </w:r>
      <w:proofErr w:type="spellStart"/>
      <w:r w:rsidRPr="00F73669">
        <w:rPr>
          <w:rFonts w:ascii="Times New Roman" w:hAnsi="Times New Roman" w:cs="Times New Roman"/>
          <w:sz w:val="20"/>
        </w:rPr>
        <w:t>Voytas</w:t>
      </w:r>
      <w:proofErr w:type="spellEnd"/>
      <w:r w:rsidRPr="00F73669">
        <w:rPr>
          <w:rFonts w:ascii="Times New Roman" w:hAnsi="Times New Roman" w:cs="Times New Roman"/>
          <w:sz w:val="20"/>
        </w:rPr>
        <w:t xml:space="preserve">, D. F. (2010). Targeting DNA Double-Strand Breaks with TAL Effector Nucleases. </w:t>
      </w:r>
      <w:r w:rsidRPr="00F73669">
        <w:rPr>
          <w:rFonts w:ascii="Times New Roman" w:hAnsi="Times New Roman" w:cs="Times New Roman"/>
          <w:i/>
          <w:iCs/>
          <w:sz w:val="20"/>
        </w:rPr>
        <w:t>Genetics</w:t>
      </w:r>
      <w:r w:rsidRPr="00F73669">
        <w:rPr>
          <w:rFonts w:ascii="Times New Roman" w:hAnsi="Times New Roman" w:cs="Times New Roman"/>
          <w:sz w:val="20"/>
        </w:rPr>
        <w:t xml:space="preserve">, </w:t>
      </w:r>
      <w:r w:rsidRPr="00F73669">
        <w:rPr>
          <w:rFonts w:ascii="Times New Roman" w:hAnsi="Times New Roman" w:cs="Times New Roman"/>
          <w:i/>
          <w:iCs/>
          <w:sz w:val="20"/>
        </w:rPr>
        <w:t>186</w:t>
      </w:r>
      <w:r w:rsidRPr="00F73669">
        <w:rPr>
          <w:rFonts w:ascii="Times New Roman" w:hAnsi="Times New Roman" w:cs="Times New Roman"/>
          <w:sz w:val="20"/>
        </w:rPr>
        <w:t>(2), 757–761. https://doi.org/10.1534/genetics.110.120717</w:t>
      </w:r>
    </w:p>
    <w:p w14:paraId="382078F2" w14:textId="77777777" w:rsidR="00F73669" w:rsidRPr="00F73669" w:rsidRDefault="00F73669" w:rsidP="00F73669">
      <w:pPr>
        <w:pStyle w:val="Bibliography"/>
        <w:rPr>
          <w:rFonts w:ascii="Times New Roman" w:hAnsi="Times New Roman" w:cs="Times New Roman"/>
          <w:sz w:val="20"/>
        </w:rPr>
      </w:pPr>
      <w:r w:rsidRPr="00F73669">
        <w:rPr>
          <w:rFonts w:ascii="Times New Roman" w:hAnsi="Times New Roman" w:cs="Times New Roman"/>
          <w:sz w:val="20"/>
        </w:rPr>
        <w:t xml:space="preserve">Feng, S., </w:t>
      </w:r>
      <w:proofErr w:type="spellStart"/>
      <w:r w:rsidRPr="00F73669">
        <w:rPr>
          <w:rFonts w:ascii="Times New Roman" w:hAnsi="Times New Roman" w:cs="Times New Roman"/>
          <w:sz w:val="20"/>
        </w:rPr>
        <w:t>Sekine</w:t>
      </w:r>
      <w:proofErr w:type="spellEnd"/>
      <w:r w:rsidRPr="00F73669">
        <w:rPr>
          <w:rFonts w:ascii="Times New Roman" w:hAnsi="Times New Roman" w:cs="Times New Roman"/>
          <w:sz w:val="20"/>
        </w:rPr>
        <w:t xml:space="preserve">, S., </w:t>
      </w:r>
      <w:proofErr w:type="spellStart"/>
      <w:r w:rsidRPr="00F73669">
        <w:rPr>
          <w:rFonts w:ascii="Times New Roman" w:hAnsi="Times New Roman" w:cs="Times New Roman"/>
          <w:sz w:val="20"/>
        </w:rPr>
        <w:t>Pessino</w:t>
      </w:r>
      <w:proofErr w:type="spellEnd"/>
      <w:r w:rsidRPr="00F73669">
        <w:rPr>
          <w:rFonts w:ascii="Times New Roman" w:hAnsi="Times New Roman" w:cs="Times New Roman"/>
          <w:sz w:val="20"/>
        </w:rPr>
        <w:t xml:space="preserve">, V., Li, H., Leonetti, M. D., &amp; Huang, B. (2017). Improved split fluorescent proteins for endogenous protein labeling. </w:t>
      </w:r>
      <w:r w:rsidRPr="00F73669">
        <w:rPr>
          <w:rFonts w:ascii="Times New Roman" w:hAnsi="Times New Roman" w:cs="Times New Roman"/>
          <w:i/>
          <w:iCs/>
          <w:sz w:val="20"/>
        </w:rPr>
        <w:t>Nature Communications</w:t>
      </w:r>
      <w:r w:rsidRPr="00F73669">
        <w:rPr>
          <w:rFonts w:ascii="Times New Roman" w:hAnsi="Times New Roman" w:cs="Times New Roman"/>
          <w:sz w:val="20"/>
        </w:rPr>
        <w:t xml:space="preserve">, </w:t>
      </w:r>
      <w:r w:rsidRPr="00F73669">
        <w:rPr>
          <w:rFonts w:ascii="Times New Roman" w:hAnsi="Times New Roman" w:cs="Times New Roman"/>
          <w:i/>
          <w:iCs/>
          <w:sz w:val="20"/>
        </w:rPr>
        <w:t>8</w:t>
      </w:r>
      <w:r w:rsidRPr="00F73669">
        <w:rPr>
          <w:rFonts w:ascii="Times New Roman" w:hAnsi="Times New Roman" w:cs="Times New Roman"/>
          <w:sz w:val="20"/>
        </w:rPr>
        <w:t>(1), 370. https://doi.org/10.1038/s41467-017-00494-8</w:t>
      </w:r>
    </w:p>
    <w:p w14:paraId="50CCA87D" w14:textId="77777777" w:rsidR="00F73669" w:rsidRPr="00F73669" w:rsidRDefault="00F73669" w:rsidP="00F73669">
      <w:pPr>
        <w:pStyle w:val="Bibliography"/>
        <w:rPr>
          <w:rFonts w:ascii="Times New Roman" w:hAnsi="Times New Roman" w:cs="Times New Roman"/>
          <w:sz w:val="20"/>
        </w:rPr>
      </w:pPr>
      <w:r w:rsidRPr="00F73669">
        <w:rPr>
          <w:rFonts w:ascii="Times New Roman" w:hAnsi="Times New Roman" w:cs="Times New Roman"/>
          <w:sz w:val="20"/>
        </w:rPr>
        <w:t xml:space="preserve">Feng, S., Varshney, A., Villa, D. C., </w:t>
      </w:r>
      <w:proofErr w:type="spellStart"/>
      <w:r w:rsidRPr="00F73669">
        <w:rPr>
          <w:rFonts w:ascii="Times New Roman" w:hAnsi="Times New Roman" w:cs="Times New Roman"/>
          <w:sz w:val="20"/>
        </w:rPr>
        <w:t>Modavi</w:t>
      </w:r>
      <w:proofErr w:type="spellEnd"/>
      <w:r w:rsidRPr="00F73669">
        <w:rPr>
          <w:rFonts w:ascii="Times New Roman" w:hAnsi="Times New Roman" w:cs="Times New Roman"/>
          <w:sz w:val="20"/>
        </w:rPr>
        <w:t xml:space="preserve">, C., Kohler, J., Farah, F., Ali, N., Mueller, J. D., </w:t>
      </w:r>
      <w:proofErr w:type="spellStart"/>
      <w:r w:rsidRPr="00F73669">
        <w:rPr>
          <w:rFonts w:ascii="Times New Roman" w:hAnsi="Times New Roman" w:cs="Times New Roman"/>
          <w:sz w:val="20"/>
        </w:rPr>
        <w:t>VanHoven</w:t>
      </w:r>
      <w:proofErr w:type="spellEnd"/>
      <w:r w:rsidRPr="00F73669">
        <w:rPr>
          <w:rFonts w:ascii="Times New Roman" w:hAnsi="Times New Roman" w:cs="Times New Roman"/>
          <w:sz w:val="20"/>
        </w:rPr>
        <w:t xml:space="preserve">, M., &amp; Huang, B. (2018). </w:t>
      </w:r>
      <w:r w:rsidRPr="00F73669">
        <w:rPr>
          <w:rFonts w:ascii="Times New Roman" w:hAnsi="Times New Roman" w:cs="Times New Roman"/>
          <w:i/>
          <w:iCs/>
          <w:sz w:val="20"/>
        </w:rPr>
        <w:t>Bright split red fluorescent proteins with enhanced complementation efficiency for the tagging of endogenous proteins and visualization of synapses</w:t>
      </w:r>
      <w:r w:rsidRPr="00F73669">
        <w:rPr>
          <w:rFonts w:ascii="Times New Roman" w:hAnsi="Times New Roman" w:cs="Times New Roman"/>
          <w:sz w:val="20"/>
        </w:rPr>
        <w:t xml:space="preserve"> [Preprint]. Cell Biology. https://doi.org/10.1101/454041</w:t>
      </w:r>
    </w:p>
    <w:p w14:paraId="5668B5AD" w14:textId="77777777" w:rsidR="00F73669" w:rsidRPr="00F73669" w:rsidRDefault="00F73669" w:rsidP="00F73669">
      <w:pPr>
        <w:pStyle w:val="Bibliography"/>
        <w:rPr>
          <w:rFonts w:ascii="Times New Roman" w:hAnsi="Times New Roman" w:cs="Times New Roman"/>
          <w:sz w:val="20"/>
          <w:lang w:val="es-US"/>
        </w:rPr>
      </w:pPr>
      <w:r w:rsidRPr="00F73669">
        <w:rPr>
          <w:rFonts w:ascii="Times New Roman" w:hAnsi="Times New Roman" w:cs="Times New Roman"/>
          <w:sz w:val="20"/>
        </w:rPr>
        <w:t xml:space="preserve">Jang, S., Choubey, S., </w:t>
      </w:r>
      <w:proofErr w:type="spellStart"/>
      <w:r w:rsidRPr="00F73669">
        <w:rPr>
          <w:rFonts w:ascii="Times New Roman" w:hAnsi="Times New Roman" w:cs="Times New Roman"/>
          <w:sz w:val="20"/>
        </w:rPr>
        <w:t>Furchtgott</w:t>
      </w:r>
      <w:proofErr w:type="spellEnd"/>
      <w:r w:rsidRPr="00F73669">
        <w:rPr>
          <w:rFonts w:ascii="Times New Roman" w:hAnsi="Times New Roman" w:cs="Times New Roman"/>
          <w:sz w:val="20"/>
        </w:rPr>
        <w:t xml:space="preserve">, L., Zou, L.-N., Doyle, A., Menon, V., Loew, E. B., </w:t>
      </w:r>
      <w:proofErr w:type="spellStart"/>
      <w:r w:rsidRPr="00F73669">
        <w:rPr>
          <w:rFonts w:ascii="Times New Roman" w:hAnsi="Times New Roman" w:cs="Times New Roman"/>
          <w:sz w:val="20"/>
        </w:rPr>
        <w:t>Krostag</w:t>
      </w:r>
      <w:proofErr w:type="spellEnd"/>
      <w:r w:rsidRPr="00F73669">
        <w:rPr>
          <w:rFonts w:ascii="Times New Roman" w:hAnsi="Times New Roman" w:cs="Times New Roman"/>
          <w:sz w:val="20"/>
        </w:rPr>
        <w:t xml:space="preserve">, A.-R., Martinez, R. A., Madisen, L., Levi, B. P., &amp; Ramanathan, S. (2017). Dynamics of embryonic stem cell differentiation inferred from single-cell transcriptomics show a series of transitions through discrete cell states. </w:t>
      </w:r>
      <w:proofErr w:type="spellStart"/>
      <w:r w:rsidRPr="00F73669">
        <w:rPr>
          <w:rFonts w:ascii="Times New Roman" w:hAnsi="Times New Roman" w:cs="Times New Roman"/>
          <w:i/>
          <w:iCs/>
          <w:sz w:val="20"/>
          <w:lang w:val="es-US"/>
        </w:rPr>
        <w:t>ELife</w:t>
      </w:r>
      <w:proofErr w:type="spellEnd"/>
      <w:r w:rsidRPr="00F73669">
        <w:rPr>
          <w:rFonts w:ascii="Times New Roman" w:hAnsi="Times New Roman" w:cs="Times New Roman"/>
          <w:sz w:val="20"/>
          <w:lang w:val="es-US"/>
        </w:rPr>
        <w:t xml:space="preserve">, </w:t>
      </w:r>
      <w:r w:rsidRPr="00F73669">
        <w:rPr>
          <w:rFonts w:ascii="Times New Roman" w:hAnsi="Times New Roman" w:cs="Times New Roman"/>
          <w:i/>
          <w:iCs/>
          <w:sz w:val="20"/>
          <w:lang w:val="es-US"/>
        </w:rPr>
        <w:t>6</w:t>
      </w:r>
      <w:r w:rsidRPr="00F73669">
        <w:rPr>
          <w:rFonts w:ascii="Times New Roman" w:hAnsi="Times New Roman" w:cs="Times New Roman"/>
          <w:sz w:val="20"/>
          <w:lang w:val="es-US"/>
        </w:rPr>
        <w:t>, e20487. https://doi.org/10.7554/eLife.20487</w:t>
      </w:r>
    </w:p>
    <w:p w14:paraId="0A0E87C4" w14:textId="77777777" w:rsidR="00F73669" w:rsidRPr="00F73669" w:rsidRDefault="00F73669" w:rsidP="00F73669">
      <w:pPr>
        <w:pStyle w:val="Bibliography"/>
        <w:rPr>
          <w:rFonts w:ascii="Times New Roman" w:hAnsi="Times New Roman" w:cs="Times New Roman"/>
          <w:sz w:val="20"/>
        </w:rPr>
      </w:pPr>
      <w:r w:rsidRPr="00F73669">
        <w:rPr>
          <w:rFonts w:ascii="Times New Roman" w:hAnsi="Times New Roman" w:cs="Times New Roman"/>
          <w:sz w:val="20"/>
          <w:lang w:val="es-US"/>
        </w:rPr>
        <w:t xml:space="preserve">Kim, Y. G., </w:t>
      </w:r>
      <w:proofErr w:type="spellStart"/>
      <w:r w:rsidRPr="00F73669">
        <w:rPr>
          <w:rFonts w:ascii="Times New Roman" w:hAnsi="Times New Roman" w:cs="Times New Roman"/>
          <w:sz w:val="20"/>
          <w:lang w:val="es-US"/>
        </w:rPr>
        <w:t>Cha</w:t>
      </w:r>
      <w:proofErr w:type="spellEnd"/>
      <w:r w:rsidRPr="00F73669">
        <w:rPr>
          <w:rFonts w:ascii="Times New Roman" w:hAnsi="Times New Roman" w:cs="Times New Roman"/>
          <w:sz w:val="20"/>
          <w:lang w:val="es-US"/>
        </w:rPr>
        <w:t xml:space="preserve">, J., &amp; </w:t>
      </w:r>
      <w:proofErr w:type="spellStart"/>
      <w:r w:rsidRPr="00F73669">
        <w:rPr>
          <w:rFonts w:ascii="Times New Roman" w:hAnsi="Times New Roman" w:cs="Times New Roman"/>
          <w:sz w:val="20"/>
          <w:lang w:val="es-US"/>
        </w:rPr>
        <w:t>Chandrasegaran</w:t>
      </w:r>
      <w:proofErr w:type="spellEnd"/>
      <w:r w:rsidRPr="00F73669">
        <w:rPr>
          <w:rFonts w:ascii="Times New Roman" w:hAnsi="Times New Roman" w:cs="Times New Roman"/>
          <w:sz w:val="20"/>
          <w:lang w:val="es-US"/>
        </w:rPr>
        <w:t xml:space="preserve">, S. (1996). </w:t>
      </w:r>
      <w:r w:rsidRPr="00F73669">
        <w:rPr>
          <w:rFonts w:ascii="Times New Roman" w:hAnsi="Times New Roman" w:cs="Times New Roman"/>
          <w:sz w:val="20"/>
        </w:rPr>
        <w:t xml:space="preserve">Hybrid restriction enzymes: Zinc finger fusions to </w:t>
      </w:r>
      <w:proofErr w:type="spellStart"/>
      <w:r w:rsidRPr="00F73669">
        <w:rPr>
          <w:rFonts w:ascii="Times New Roman" w:hAnsi="Times New Roman" w:cs="Times New Roman"/>
          <w:sz w:val="20"/>
        </w:rPr>
        <w:t>Fok</w:t>
      </w:r>
      <w:proofErr w:type="spellEnd"/>
      <w:r w:rsidRPr="00F73669">
        <w:rPr>
          <w:rFonts w:ascii="Times New Roman" w:hAnsi="Times New Roman" w:cs="Times New Roman"/>
          <w:sz w:val="20"/>
        </w:rPr>
        <w:t xml:space="preserve"> I cleavage domain. </w:t>
      </w:r>
      <w:r w:rsidRPr="00F73669">
        <w:rPr>
          <w:rFonts w:ascii="Times New Roman" w:hAnsi="Times New Roman" w:cs="Times New Roman"/>
          <w:i/>
          <w:iCs/>
          <w:sz w:val="20"/>
        </w:rPr>
        <w:t>Proceedings of the National Academy of Sciences of the United States of America</w:t>
      </w:r>
      <w:r w:rsidRPr="00F73669">
        <w:rPr>
          <w:rFonts w:ascii="Times New Roman" w:hAnsi="Times New Roman" w:cs="Times New Roman"/>
          <w:sz w:val="20"/>
        </w:rPr>
        <w:t xml:space="preserve">, </w:t>
      </w:r>
      <w:r w:rsidRPr="00F73669">
        <w:rPr>
          <w:rFonts w:ascii="Times New Roman" w:hAnsi="Times New Roman" w:cs="Times New Roman"/>
          <w:i/>
          <w:iCs/>
          <w:sz w:val="20"/>
        </w:rPr>
        <w:t>93</w:t>
      </w:r>
      <w:r w:rsidRPr="00F73669">
        <w:rPr>
          <w:rFonts w:ascii="Times New Roman" w:hAnsi="Times New Roman" w:cs="Times New Roman"/>
          <w:sz w:val="20"/>
        </w:rPr>
        <w:t>(3), 1156–1160.</w:t>
      </w:r>
    </w:p>
    <w:p w14:paraId="6A7B1C7A" w14:textId="77777777" w:rsidR="00F73669" w:rsidRPr="00F73669" w:rsidRDefault="00F73669" w:rsidP="00F73669">
      <w:pPr>
        <w:pStyle w:val="Bibliography"/>
        <w:rPr>
          <w:rFonts w:ascii="Times New Roman" w:hAnsi="Times New Roman" w:cs="Times New Roman"/>
          <w:sz w:val="20"/>
        </w:rPr>
      </w:pPr>
      <w:proofErr w:type="spellStart"/>
      <w:r w:rsidRPr="00F73669">
        <w:rPr>
          <w:rFonts w:ascii="Times New Roman" w:hAnsi="Times New Roman" w:cs="Times New Roman"/>
          <w:sz w:val="20"/>
          <w:lang w:val="es-US"/>
        </w:rPr>
        <w:t>Köker</w:t>
      </w:r>
      <w:proofErr w:type="spellEnd"/>
      <w:r w:rsidRPr="00F73669">
        <w:rPr>
          <w:rFonts w:ascii="Times New Roman" w:hAnsi="Times New Roman" w:cs="Times New Roman"/>
          <w:sz w:val="20"/>
          <w:lang w:val="es-US"/>
        </w:rPr>
        <w:t xml:space="preserve">, T., </w:t>
      </w:r>
      <w:proofErr w:type="spellStart"/>
      <w:r w:rsidRPr="00F73669">
        <w:rPr>
          <w:rFonts w:ascii="Times New Roman" w:hAnsi="Times New Roman" w:cs="Times New Roman"/>
          <w:sz w:val="20"/>
          <w:lang w:val="es-US"/>
        </w:rPr>
        <w:t>Fernandez</w:t>
      </w:r>
      <w:proofErr w:type="spellEnd"/>
      <w:r w:rsidRPr="00F73669">
        <w:rPr>
          <w:rFonts w:ascii="Times New Roman" w:hAnsi="Times New Roman" w:cs="Times New Roman"/>
          <w:sz w:val="20"/>
          <w:lang w:val="es-US"/>
        </w:rPr>
        <w:t xml:space="preserve">, A., &amp; </w:t>
      </w:r>
      <w:proofErr w:type="spellStart"/>
      <w:r w:rsidRPr="00F73669">
        <w:rPr>
          <w:rFonts w:ascii="Times New Roman" w:hAnsi="Times New Roman" w:cs="Times New Roman"/>
          <w:sz w:val="20"/>
          <w:lang w:val="es-US"/>
        </w:rPr>
        <w:t>Pinaud</w:t>
      </w:r>
      <w:proofErr w:type="spellEnd"/>
      <w:r w:rsidRPr="00F73669">
        <w:rPr>
          <w:rFonts w:ascii="Times New Roman" w:hAnsi="Times New Roman" w:cs="Times New Roman"/>
          <w:sz w:val="20"/>
          <w:lang w:val="es-US"/>
        </w:rPr>
        <w:t xml:space="preserve">, F. (2018). </w:t>
      </w:r>
      <w:r w:rsidRPr="00F73669">
        <w:rPr>
          <w:rFonts w:ascii="Times New Roman" w:hAnsi="Times New Roman" w:cs="Times New Roman"/>
          <w:sz w:val="20"/>
        </w:rPr>
        <w:t xml:space="preserve">Characterization of Split Fluorescent Protein Variants and Quantitative Analyses of Their Self-Assembly Process. </w:t>
      </w:r>
      <w:r w:rsidRPr="00F73669">
        <w:rPr>
          <w:rFonts w:ascii="Times New Roman" w:hAnsi="Times New Roman" w:cs="Times New Roman"/>
          <w:i/>
          <w:iCs/>
          <w:sz w:val="20"/>
        </w:rPr>
        <w:t>Scientific Reports</w:t>
      </w:r>
      <w:r w:rsidRPr="00F73669">
        <w:rPr>
          <w:rFonts w:ascii="Times New Roman" w:hAnsi="Times New Roman" w:cs="Times New Roman"/>
          <w:sz w:val="20"/>
        </w:rPr>
        <w:t xml:space="preserve">, </w:t>
      </w:r>
      <w:r w:rsidRPr="00F73669">
        <w:rPr>
          <w:rFonts w:ascii="Times New Roman" w:hAnsi="Times New Roman" w:cs="Times New Roman"/>
          <w:i/>
          <w:iCs/>
          <w:sz w:val="20"/>
        </w:rPr>
        <w:t>8</w:t>
      </w:r>
      <w:r w:rsidRPr="00F73669">
        <w:rPr>
          <w:rFonts w:ascii="Times New Roman" w:hAnsi="Times New Roman" w:cs="Times New Roman"/>
          <w:sz w:val="20"/>
        </w:rPr>
        <w:t>(1), 5344. https://doi.org/10.1038/s41598-018-23625-7</w:t>
      </w:r>
    </w:p>
    <w:p w14:paraId="10006FF5" w14:textId="77777777" w:rsidR="00F73669" w:rsidRPr="00F73669" w:rsidRDefault="00F73669" w:rsidP="00F73669">
      <w:pPr>
        <w:pStyle w:val="Bibliography"/>
        <w:rPr>
          <w:rFonts w:ascii="Times New Roman" w:hAnsi="Times New Roman" w:cs="Times New Roman"/>
          <w:sz w:val="20"/>
        </w:rPr>
      </w:pPr>
      <w:r w:rsidRPr="00F73669">
        <w:rPr>
          <w:rFonts w:ascii="Times New Roman" w:hAnsi="Times New Roman" w:cs="Times New Roman"/>
          <w:sz w:val="20"/>
        </w:rPr>
        <w:t xml:space="preserve">Liang, F., Han, M., </w:t>
      </w:r>
      <w:proofErr w:type="spellStart"/>
      <w:r w:rsidRPr="00F73669">
        <w:rPr>
          <w:rFonts w:ascii="Times New Roman" w:hAnsi="Times New Roman" w:cs="Times New Roman"/>
          <w:sz w:val="20"/>
        </w:rPr>
        <w:t>Romanienko</w:t>
      </w:r>
      <w:proofErr w:type="spellEnd"/>
      <w:r w:rsidRPr="00F73669">
        <w:rPr>
          <w:rFonts w:ascii="Times New Roman" w:hAnsi="Times New Roman" w:cs="Times New Roman"/>
          <w:sz w:val="20"/>
        </w:rPr>
        <w:t xml:space="preserve">, P. J., &amp; </w:t>
      </w:r>
      <w:proofErr w:type="spellStart"/>
      <w:r w:rsidRPr="00F73669">
        <w:rPr>
          <w:rFonts w:ascii="Times New Roman" w:hAnsi="Times New Roman" w:cs="Times New Roman"/>
          <w:sz w:val="20"/>
        </w:rPr>
        <w:t>Jasin</w:t>
      </w:r>
      <w:proofErr w:type="spellEnd"/>
      <w:r w:rsidRPr="00F73669">
        <w:rPr>
          <w:rFonts w:ascii="Times New Roman" w:hAnsi="Times New Roman" w:cs="Times New Roman"/>
          <w:sz w:val="20"/>
        </w:rPr>
        <w:t xml:space="preserve">, M. (1998). Homology-directed repair is a major double-strand break repair pathway in mammalian cells. </w:t>
      </w:r>
      <w:r w:rsidRPr="00F73669">
        <w:rPr>
          <w:rFonts w:ascii="Times New Roman" w:hAnsi="Times New Roman" w:cs="Times New Roman"/>
          <w:i/>
          <w:iCs/>
          <w:sz w:val="20"/>
        </w:rPr>
        <w:t>Proceedings of the National Academy of Sciences</w:t>
      </w:r>
      <w:r w:rsidRPr="00F73669">
        <w:rPr>
          <w:rFonts w:ascii="Times New Roman" w:hAnsi="Times New Roman" w:cs="Times New Roman"/>
          <w:sz w:val="20"/>
        </w:rPr>
        <w:t xml:space="preserve">, </w:t>
      </w:r>
      <w:r w:rsidRPr="00F73669">
        <w:rPr>
          <w:rFonts w:ascii="Times New Roman" w:hAnsi="Times New Roman" w:cs="Times New Roman"/>
          <w:i/>
          <w:iCs/>
          <w:sz w:val="20"/>
        </w:rPr>
        <w:t>95</w:t>
      </w:r>
      <w:r w:rsidRPr="00F73669">
        <w:rPr>
          <w:rFonts w:ascii="Times New Roman" w:hAnsi="Times New Roman" w:cs="Times New Roman"/>
          <w:sz w:val="20"/>
        </w:rPr>
        <w:t>(9), 5172–5177. https://doi.org/10.1073/pnas.95.9.5172</w:t>
      </w:r>
    </w:p>
    <w:p w14:paraId="7BD3B23D" w14:textId="77777777" w:rsidR="00F73669" w:rsidRPr="00F73669" w:rsidRDefault="00F73669" w:rsidP="00F73669">
      <w:pPr>
        <w:pStyle w:val="Bibliography"/>
        <w:rPr>
          <w:rFonts w:ascii="Times New Roman" w:hAnsi="Times New Roman" w:cs="Times New Roman"/>
          <w:sz w:val="20"/>
        </w:rPr>
      </w:pPr>
      <w:proofErr w:type="spellStart"/>
      <w:r w:rsidRPr="00F73669">
        <w:rPr>
          <w:rFonts w:ascii="Times New Roman" w:hAnsi="Times New Roman" w:cs="Times New Roman"/>
          <w:sz w:val="20"/>
        </w:rPr>
        <w:t>Loh</w:t>
      </w:r>
      <w:proofErr w:type="spellEnd"/>
      <w:r w:rsidRPr="00F73669">
        <w:rPr>
          <w:rFonts w:ascii="Times New Roman" w:hAnsi="Times New Roman" w:cs="Times New Roman"/>
          <w:sz w:val="20"/>
        </w:rPr>
        <w:t xml:space="preserve">, K. M., Chen, A., Koh, P. W., Deng, T. Z., Sinha, R., Tsai, J. M., </w:t>
      </w:r>
      <w:proofErr w:type="spellStart"/>
      <w:r w:rsidRPr="00F73669">
        <w:rPr>
          <w:rFonts w:ascii="Times New Roman" w:hAnsi="Times New Roman" w:cs="Times New Roman"/>
          <w:sz w:val="20"/>
        </w:rPr>
        <w:t>Barkal</w:t>
      </w:r>
      <w:proofErr w:type="spellEnd"/>
      <w:r w:rsidRPr="00F73669">
        <w:rPr>
          <w:rFonts w:ascii="Times New Roman" w:hAnsi="Times New Roman" w:cs="Times New Roman"/>
          <w:sz w:val="20"/>
        </w:rPr>
        <w:t xml:space="preserve">, A. A., Shen, K. Y., Jain, R., </w:t>
      </w:r>
      <w:proofErr w:type="spellStart"/>
      <w:r w:rsidRPr="00F73669">
        <w:rPr>
          <w:rFonts w:ascii="Times New Roman" w:hAnsi="Times New Roman" w:cs="Times New Roman"/>
          <w:sz w:val="20"/>
        </w:rPr>
        <w:t>Morganti</w:t>
      </w:r>
      <w:proofErr w:type="spellEnd"/>
      <w:r w:rsidRPr="00F73669">
        <w:rPr>
          <w:rFonts w:ascii="Times New Roman" w:hAnsi="Times New Roman" w:cs="Times New Roman"/>
          <w:sz w:val="20"/>
        </w:rPr>
        <w:t xml:space="preserve">, R. M., </w:t>
      </w:r>
      <w:proofErr w:type="spellStart"/>
      <w:r w:rsidRPr="00F73669">
        <w:rPr>
          <w:rFonts w:ascii="Times New Roman" w:hAnsi="Times New Roman" w:cs="Times New Roman"/>
          <w:sz w:val="20"/>
        </w:rPr>
        <w:t>Shyh</w:t>
      </w:r>
      <w:proofErr w:type="spellEnd"/>
      <w:r w:rsidRPr="00F73669">
        <w:rPr>
          <w:rFonts w:ascii="Times New Roman" w:hAnsi="Times New Roman" w:cs="Times New Roman"/>
          <w:sz w:val="20"/>
        </w:rPr>
        <w:t xml:space="preserve">-Chang, N., </w:t>
      </w:r>
      <w:proofErr w:type="spellStart"/>
      <w:r w:rsidRPr="00F73669">
        <w:rPr>
          <w:rFonts w:ascii="Times New Roman" w:hAnsi="Times New Roman" w:cs="Times New Roman"/>
          <w:sz w:val="20"/>
        </w:rPr>
        <w:t>Fernhoff</w:t>
      </w:r>
      <w:proofErr w:type="spellEnd"/>
      <w:r w:rsidRPr="00F73669">
        <w:rPr>
          <w:rFonts w:ascii="Times New Roman" w:hAnsi="Times New Roman" w:cs="Times New Roman"/>
          <w:sz w:val="20"/>
        </w:rPr>
        <w:t xml:space="preserve">, N. B., George, B. M., </w:t>
      </w:r>
      <w:proofErr w:type="spellStart"/>
      <w:r w:rsidRPr="00F73669">
        <w:rPr>
          <w:rFonts w:ascii="Times New Roman" w:hAnsi="Times New Roman" w:cs="Times New Roman"/>
          <w:sz w:val="20"/>
        </w:rPr>
        <w:t>Wernig</w:t>
      </w:r>
      <w:proofErr w:type="spellEnd"/>
      <w:r w:rsidRPr="00F73669">
        <w:rPr>
          <w:rFonts w:ascii="Times New Roman" w:hAnsi="Times New Roman" w:cs="Times New Roman"/>
          <w:sz w:val="20"/>
        </w:rPr>
        <w:t xml:space="preserve">, G., Salomon, R. E. A., Chen, Z., Vogel, H., Epstein, J. A., </w:t>
      </w:r>
      <w:proofErr w:type="spellStart"/>
      <w:r w:rsidRPr="00F73669">
        <w:rPr>
          <w:rFonts w:ascii="Times New Roman" w:hAnsi="Times New Roman" w:cs="Times New Roman"/>
          <w:sz w:val="20"/>
        </w:rPr>
        <w:t>Kundaje</w:t>
      </w:r>
      <w:proofErr w:type="spellEnd"/>
      <w:r w:rsidRPr="00F73669">
        <w:rPr>
          <w:rFonts w:ascii="Times New Roman" w:hAnsi="Times New Roman" w:cs="Times New Roman"/>
          <w:sz w:val="20"/>
        </w:rPr>
        <w:t xml:space="preserve">, A., … Weissman, I. L. (2016). Mapping the Pairwise Choices Leading from Pluripotency to Human Bone, Heart, and Other Mesoderm Cell Types. </w:t>
      </w:r>
      <w:r w:rsidRPr="00F73669">
        <w:rPr>
          <w:rFonts w:ascii="Times New Roman" w:hAnsi="Times New Roman" w:cs="Times New Roman"/>
          <w:i/>
          <w:iCs/>
          <w:sz w:val="20"/>
        </w:rPr>
        <w:t>Cell</w:t>
      </w:r>
      <w:r w:rsidRPr="00F73669">
        <w:rPr>
          <w:rFonts w:ascii="Times New Roman" w:hAnsi="Times New Roman" w:cs="Times New Roman"/>
          <w:sz w:val="20"/>
        </w:rPr>
        <w:t xml:space="preserve">, </w:t>
      </w:r>
      <w:r w:rsidRPr="00F73669">
        <w:rPr>
          <w:rFonts w:ascii="Times New Roman" w:hAnsi="Times New Roman" w:cs="Times New Roman"/>
          <w:i/>
          <w:iCs/>
          <w:sz w:val="20"/>
        </w:rPr>
        <w:t>166</w:t>
      </w:r>
      <w:r w:rsidRPr="00F73669">
        <w:rPr>
          <w:rFonts w:ascii="Times New Roman" w:hAnsi="Times New Roman" w:cs="Times New Roman"/>
          <w:sz w:val="20"/>
        </w:rPr>
        <w:t>(2), 451–467. https://doi.org/10.1016/j.cell.2016.06.011</w:t>
      </w:r>
    </w:p>
    <w:p w14:paraId="0369BCC2" w14:textId="77777777" w:rsidR="00F73669" w:rsidRPr="00F73669" w:rsidRDefault="00F73669" w:rsidP="00F73669">
      <w:pPr>
        <w:pStyle w:val="Bibliography"/>
        <w:rPr>
          <w:rFonts w:ascii="Times New Roman" w:hAnsi="Times New Roman" w:cs="Times New Roman"/>
          <w:sz w:val="20"/>
        </w:rPr>
      </w:pPr>
      <w:r w:rsidRPr="00F73669">
        <w:rPr>
          <w:rFonts w:ascii="Times New Roman" w:hAnsi="Times New Roman" w:cs="Times New Roman"/>
          <w:sz w:val="20"/>
        </w:rPr>
        <w:t xml:space="preserve">Mali, P., Yang, L., </w:t>
      </w:r>
      <w:proofErr w:type="spellStart"/>
      <w:r w:rsidRPr="00F73669">
        <w:rPr>
          <w:rFonts w:ascii="Times New Roman" w:hAnsi="Times New Roman" w:cs="Times New Roman"/>
          <w:sz w:val="20"/>
        </w:rPr>
        <w:t>Esvelt</w:t>
      </w:r>
      <w:proofErr w:type="spellEnd"/>
      <w:r w:rsidRPr="00F73669">
        <w:rPr>
          <w:rFonts w:ascii="Times New Roman" w:hAnsi="Times New Roman" w:cs="Times New Roman"/>
          <w:sz w:val="20"/>
        </w:rPr>
        <w:t xml:space="preserve">, K. M., </w:t>
      </w:r>
      <w:proofErr w:type="spellStart"/>
      <w:r w:rsidRPr="00F73669">
        <w:rPr>
          <w:rFonts w:ascii="Times New Roman" w:hAnsi="Times New Roman" w:cs="Times New Roman"/>
          <w:sz w:val="20"/>
        </w:rPr>
        <w:t>Aach</w:t>
      </w:r>
      <w:proofErr w:type="spellEnd"/>
      <w:r w:rsidRPr="00F73669">
        <w:rPr>
          <w:rFonts w:ascii="Times New Roman" w:hAnsi="Times New Roman" w:cs="Times New Roman"/>
          <w:sz w:val="20"/>
        </w:rPr>
        <w:t xml:space="preserve">, J., </w:t>
      </w:r>
      <w:proofErr w:type="spellStart"/>
      <w:r w:rsidRPr="00F73669">
        <w:rPr>
          <w:rFonts w:ascii="Times New Roman" w:hAnsi="Times New Roman" w:cs="Times New Roman"/>
          <w:sz w:val="20"/>
        </w:rPr>
        <w:t>Güell</w:t>
      </w:r>
      <w:proofErr w:type="spellEnd"/>
      <w:r w:rsidRPr="00F73669">
        <w:rPr>
          <w:rFonts w:ascii="Times New Roman" w:hAnsi="Times New Roman" w:cs="Times New Roman"/>
          <w:sz w:val="20"/>
        </w:rPr>
        <w:t xml:space="preserve"> </w:t>
      </w:r>
      <w:proofErr w:type="spellStart"/>
      <w:r w:rsidRPr="00F73669">
        <w:rPr>
          <w:rFonts w:ascii="Times New Roman" w:hAnsi="Times New Roman" w:cs="Times New Roman"/>
          <w:sz w:val="20"/>
        </w:rPr>
        <w:t>Cargol</w:t>
      </w:r>
      <w:proofErr w:type="spellEnd"/>
      <w:r w:rsidRPr="00F73669">
        <w:rPr>
          <w:rFonts w:ascii="Times New Roman" w:hAnsi="Times New Roman" w:cs="Times New Roman"/>
          <w:sz w:val="20"/>
        </w:rPr>
        <w:t xml:space="preserve">, M., DiCarlo, J. E., </w:t>
      </w:r>
      <w:proofErr w:type="spellStart"/>
      <w:r w:rsidRPr="00F73669">
        <w:rPr>
          <w:rFonts w:ascii="Times New Roman" w:hAnsi="Times New Roman" w:cs="Times New Roman"/>
          <w:sz w:val="20"/>
        </w:rPr>
        <w:t>Norville</w:t>
      </w:r>
      <w:proofErr w:type="spellEnd"/>
      <w:r w:rsidRPr="00F73669">
        <w:rPr>
          <w:rFonts w:ascii="Times New Roman" w:hAnsi="Times New Roman" w:cs="Times New Roman"/>
          <w:sz w:val="20"/>
        </w:rPr>
        <w:t xml:space="preserve">, J. E., &amp; Church, G. M. (2013). </w:t>
      </w:r>
      <w:r w:rsidRPr="00F73669">
        <w:rPr>
          <w:rFonts w:ascii="Times New Roman" w:hAnsi="Times New Roman" w:cs="Times New Roman"/>
          <w:i/>
          <w:iCs/>
          <w:sz w:val="20"/>
        </w:rPr>
        <w:t>RNA-guided human genome engineering via Cas9</w:t>
      </w:r>
      <w:r w:rsidRPr="00F73669">
        <w:rPr>
          <w:rFonts w:ascii="Times New Roman" w:hAnsi="Times New Roman" w:cs="Times New Roman"/>
          <w:sz w:val="20"/>
        </w:rPr>
        <w:t>. http://dx.doi.org/10.1126/science.1232033</w:t>
      </w:r>
    </w:p>
    <w:p w14:paraId="3D522319" w14:textId="77777777" w:rsidR="00F73669" w:rsidRDefault="00F73669" w:rsidP="00F73669">
      <w:pPr>
        <w:pStyle w:val="BodyText"/>
        <w:spacing w:before="71" w:line="249" w:lineRule="auto"/>
        <w:ind w:left="108" w:right="111" w:firstLine="5"/>
        <w:jc w:val="both"/>
        <w:rPr>
          <w:w w:val="105"/>
        </w:rPr>
      </w:pPr>
    </w:p>
    <w:p w14:paraId="1319437C" w14:textId="77777777" w:rsidR="00F73669" w:rsidRDefault="00F73669" w:rsidP="00F73669">
      <w:pPr>
        <w:spacing w:line="200" w:lineRule="atLeast"/>
        <w:ind w:left="8617"/>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E5ADB1E" wp14:editId="6E94E004">
            <wp:extent cx="762000" cy="20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203200"/>
                    </a:xfrm>
                    <a:prstGeom prst="rect">
                      <a:avLst/>
                    </a:prstGeom>
                    <a:noFill/>
                    <a:ln>
                      <a:noFill/>
                    </a:ln>
                  </pic:spPr>
                </pic:pic>
              </a:graphicData>
            </a:graphic>
          </wp:inline>
        </w:drawing>
      </w:r>
    </w:p>
    <w:p w14:paraId="4B3EB7E0" w14:textId="77777777" w:rsidR="00F73669" w:rsidRDefault="00F73669" w:rsidP="00F73669">
      <w:pPr>
        <w:spacing w:before="11"/>
        <w:rPr>
          <w:rFonts w:ascii="Times New Roman" w:eastAsia="Times New Roman" w:hAnsi="Times New Roman" w:cs="Times New Roman"/>
          <w:sz w:val="4"/>
          <w:szCs w:val="4"/>
        </w:rPr>
      </w:pPr>
    </w:p>
    <w:p w14:paraId="4020DF52" w14:textId="77777777" w:rsidR="00F73669" w:rsidRDefault="00F73669" w:rsidP="00F73669">
      <w:pPr>
        <w:spacing w:line="20" w:lineRule="atLeast"/>
        <w:ind w:left="109"/>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w14:anchorId="113870F5">
          <v:group id="_x0000_s1065" alt="" style="width:482.3pt;height:.4pt;mso-position-horizontal-relative:char;mso-position-vertical-relative:line" coordsize="9646,8">
            <v:group id="_x0000_s1066" alt="" style="position:absolute;left:4;top:4;width:9638;height:2" coordorigin="4,4" coordsize="9638,2">
              <v:shape id="_x0000_s1067" alt="" style="position:absolute;left:4;top:4;width:9638;height:2" coordorigin="4,4" coordsize="9638,0" path="m4,4r9638,e" filled="f" strokeweight=".14058mm">
                <v:path arrowok="t"/>
              </v:shape>
            </v:group>
            <w10:anchorlock/>
          </v:group>
        </w:pict>
      </w:r>
    </w:p>
    <w:p w14:paraId="4824298D" w14:textId="77777777" w:rsidR="00F73669" w:rsidRDefault="00F73669" w:rsidP="00F73669">
      <w:pPr>
        <w:spacing w:before="2"/>
        <w:rPr>
          <w:rFonts w:ascii="Times New Roman" w:eastAsia="Times New Roman" w:hAnsi="Times New Roman" w:cs="Times New Roman"/>
          <w:b/>
          <w:bCs/>
          <w:sz w:val="10"/>
          <w:szCs w:val="10"/>
        </w:rPr>
      </w:pPr>
    </w:p>
    <w:p w14:paraId="74567F38" w14:textId="77777777" w:rsidR="00F73669" w:rsidRDefault="00F73669" w:rsidP="00F73669">
      <w:pPr>
        <w:pStyle w:val="Bibliography"/>
        <w:rPr>
          <w:rFonts w:ascii="Times New Roman" w:hAnsi="Times New Roman" w:cs="Times New Roman"/>
          <w:sz w:val="20"/>
          <w:lang w:val="es-US"/>
        </w:rPr>
      </w:pPr>
    </w:p>
    <w:p w14:paraId="0A7B15DA" w14:textId="3521FF93" w:rsidR="00F73669" w:rsidRPr="00F73669" w:rsidRDefault="00F73669" w:rsidP="00F73669">
      <w:pPr>
        <w:pStyle w:val="Bibliography"/>
        <w:rPr>
          <w:rFonts w:ascii="Times New Roman" w:hAnsi="Times New Roman" w:cs="Times New Roman"/>
          <w:sz w:val="20"/>
        </w:rPr>
      </w:pPr>
      <w:proofErr w:type="spellStart"/>
      <w:r w:rsidRPr="00F73669">
        <w:rPr>
          <w:rFonts w:ascii="Times New Roman" w:hAnsi="Times New Roman" w:cs="Times New Roman"/>
          <w:sz w:val="20"/>
          <w:lang w:val="es-US"/>
        </w:rPr>
        <w:t>Rodriguez</w:t>
      </w:r>
      <w:proofErr w:type="spellEnd"/>
      <w:r w:rsidRPr="00F73669">
        <w:rPr>
          <w:rFonts w:ascii="Times New Roman" w:hAnsi="Times New Roman" w:cs="Times New Roman"/>
          <w:sz w:val="20"/>
          <w:lang w:val="es-US"/>
        </w:rPr>
        <w:t xml:space="preserve">, E. A., Campbell, R. E., Lin, J. Y., Lin, M. Z., </w:t>
      </w:r>
      <w:proofErr w:type="spellStart"/>
      <w:r w:rsidRPr="00F73669">
        <w:rPr>
          <w:rFonts w:ascii="Times New Roman" w:hAnsi="Times New Roman" w:cs="Times New Roman"/>
          <w:sz w:val="20"/>
          <w:lang w:val="es-US"/>
        </w:rPr>
        <w:t>Miyawaki</w:t>
      </w:r>
      <w:proofErr w:type="spellEnd"/>
      <w:r w:rsidRPr="00F73669">
        <w:rPr>
          <w:rFonts w:ascii="Times New Roman" w:hAnsi="Times New Roman" w:cs="Times New Roman"/>
          <w:sz w:val="20"/>
          <w:lang w:val="es-US"/>
        </w:rPr>
        <w:t xml:space="preserve">, A., Palmer, A. E., Shu, X., Zhang, J., &amp; </w:t>
      </w:r>
      <w:proofErr w:type="spellStart"/>
      <w:r w:rsidRPr="00F73669">
        <w:rPr>
          <w:rFonts w:ascii="Times New Roman" w:hAnsi="Times New Roman" w:cs="Times New Roman"/>
          <w:sz w:val="20"/>
          <w:lang w:val="es-US"/>
        </w:rPr>
        <w:t>Tsien</w:t>
      </w:r>
      <w:proofErr w:type="spellEnd"/>
      <w:r w:rsidRPr="00F73669">
        <w:rPr>
          <w:rFonts w:ascii="Times New Roman" w:hAnsi="Times New Roman" w:cs="Times New Roman"/>
          <w:sz w:val="20"/>
          <w:lang w:val="es-US"/>
        </w:rPr>
        <w:t xml:space="preserve">, R. Y. (2017). </w:t>
      </w:r>
      <w:r w:rsidRPr="00F73669">
        <w:rPr>
          <w:rFonts w:ascii="Times New Roman" w:hAnsi="Times New Roman" w:cs="Times New Roman"/>
          <w:sz w:val="20"/>
        </w:rPr>
        <w:t xml:space="preserve">The growing and glowing toolbox of fluorescent and photoactive proteins. </w:t>
      </w:r>
      <w:r w:rsidRPr="00F73669">
        <w:rPr>
          <w:rFonts w:ascii="Times New Roman" w:hAnsi="Times New Roman" w:cs="Times New Roman"/>
          <w:i/>
          <w:iCs/>
          <w:sz w:val="20"/>
        </w:rPr>
        <w:t>Trends in Biochemical Sciences</w:t>
      </w:r>
      <w:r w:rsidRPr="00F73669">
        <w:rPr>
          <w:rFonts w:ascii="Times New Roman" w:hAnsi="Times New Roman" w:cs="Times New Roman"/>
          <w:sz w:val="20"/>
        </w:rPr>
        <w:t xml:space="preserve">, </w:t>
      </w:r>
      <w:r w:rsidRPr="00F73669">
        <w:rPr>
          <w:rFonts w:ascii="Times New Roman" w:hAnsi="Times New Roman" w:cs="Times New Roman"/>
          <w:i/>
          <w:iCs/>
          <w:sz w:val="20"/>
        </w:rPr>
        <w:t>42</w:t>
      </w:r>
      <w:r w:rsidRPr="00F73669">
        <w:rPr>
          <w:rFonts w:ascii="Times New Roman" w:hAnsi="Times New Roman" w:cs="Times New Roman"/>
          <w:sz w:val="20"/>
        </w:rPr>
        <w:t>(2), 111–129. https://doi.org/10.1016/j.tibs.2016.09.010</w:t>
      </w:r>
    </w:p>
    <w:p w14:paraId="2F020897" w14:textId="77777777" w:rsidR="00F73669" w:rsidRPr="00F73669" w:rsidRDefault="00F73669" w:rsidP="00F73669">
      <w:pPr>
        <w:pStyle w:val="Bibliography"/>
        <w:rPr>
          <w:rFonts w:ascii="Times New Roman" w:hAnsi="Times New Roman" w:cs="Times New Roman"/>
          <w:sz w:val="20"/>
        </w:rPr>
      </w:pPr>
      <w:proofErr w:type="spellStart"/>
      <w:r w:rsidRPr="00F73669">
        <w:rPr>
          <w:rFonts w:ascii="Times New Roman" w:hAnsi="Times New Roman" w:cs="Times New Roman"/>
          <w:sz w:val="20"/>
        </w:rPr>
        <w:t>Romei</w:t>
      </w:r>
      <w:proofErr w:type="spellEnd"/>
      <w:r w:rsidRPr="00F73669">
        <w:rPr>
          <w:rFonts w:ascii="Times New Roman" w:hAnsi="Times New Roman" w:cs="Times New Roman"/>
          <w:sz w:val="20"/>
        </w:rPr>
        <w:t xml:space="preserve">, M. G., &amp; Boxer, S. G. (2019). Split Green Fluorescent Proteins: Scope, Limitations, and Outlook. </w:t>
      </w:r>
      <w:r w:rsidRPr="00F73669">
        <w:rPr>
          <w:rFonts w:ascii="Times New Roman" w:hAnsi="Times New Roman" w:cs="Times New Roman"/>
          <w:i/>
          <w:iCs/>
          <w:sz w:val="20"/>
        </w:rPr>
        <w:t>Annual Review of Biophysics</w:t>
      </w:r>
      <w:r w:rsidRPr="00F73669">
        <w:rPr>
          <w:rFonts w:ascii="Times New Roman" w:hAnsi="Times New Roman" w:cs="Times New Roman"/>
          <w:sz w:val="20"/>
        </w:rPr>
        <w:t xml:space="preserve">, </w:t>
      </w:r>
      <w:r w:rsidRPr="00F73669">
        <w:rPr>
          <w:rFonts w:ascii="Times New Roman" w:hAnsi="Times New Roman" w:cs="Times New Roman"/>
          <w:i/>
          <w:iCs/>
          <w:sz w:val="20"/>
        </w:rPr>
        <w:t>48</w:t>
      </w:r>
      <w:r w:rsidRPr="00F73669">
        <w:rPr>
          <w:rFonts w:ascii="Times New Roman" w:hAnsi="Times New Roman" w:cs="Times New Roman"/>
          <w:sz w:val="20"/>
        </w:rPr>
        <w:t>, 19–44. https://doi.org/10.1146/annurev-biophys-051013-022846</w:t>
      </w:r>
    </w:p>
    <w:p w14:paraId="7C104BC3" w14:textId="77777777" w:rsidR="00F73669" w:rsidRPr="00F73669" w:rsidRDefault="00F73669" w:rsidP="00F73669">
      <w:pPr>
        <w:pStyle w:val="Bibliography"/>
        <w:rPr>
          <w:rFonts w:ascii="Times New Roman" w:hAnsi="Times New Roman" w:cs="Times New Roman"/>
          <w:sz w:val="20"/>
        </w:rPr>
      </w:pPr>
      <w:r w:rsidRPr="00F73669">
        <w:rPr>
          <w:rFonts w:ascii="Times New Roman" w:hAnsi="Times New Roman" w:cs="Times New Roman"/>
          <w:sz w:val="20"/>
        </w:rPr>
        <w:t xml:space="preserve">Thomson, M., Liu, S. J., Zou, L.-N., Smith, Z., Meissner, A., &amp; Ramanathan, S. (2011). Pluripotency Factors in Embryonic Stem Cells Regulate Differentiation into Germ Layers. </w:t>
      </w:r>
      <w:r w:rsidRPr="00F73669">
        <w:rPr>
          <w:rFonts w:ascii="Times New Roman" w:hAnsi="Times New Roman" w:cs="Times New Roman"/>
          <w:i/>
          <w:iCs/>
          <w:sz w:val="20"/>
        </w:rPr>
        <w:t>Cell</w:t>
      </w:r>
      <w:r w:rsidRPr="00F73669">
        <w:rPr>
          <w:rFonts w:ascii="Times New Roman" w:hAnsi="Times New Roman" w:cs="Times New Roman"/>
          <w:sz w:val="20"/>
        </w:rPr>
        <w:t xml:space="preserve">, </w:t>
      </w:r>
      <w:r w:rsidRPr="00F73669">
        <w:rPr>
          <w:rFonts w:ascii="Times New Roman" w:hAnsi="Times New Roman" w:cs="Times New Roman"/>
          <w:i/>
          <w:iCs/>
          <w:sz w:val="20"/>
        </w:rPr>
        <w:t>145</w:t>
      </w:r>
      <w:r w:rsidRPr="00F73669">
        <w:rPr>
          <w:rFonts w:ascii="Times New Roman" w:hAnsi="Times New Roman" w:cs="Times New Roman"/>
          <w:sz w:val="20"/>
        </w:rPr>
        <w:t>(6), 875–889. https://doi.org/10.1016/j.cell.2011.05.017</w:t>
      </w:r>
    </w:p>
    <w:p w14:paraId="18377FEA" w14:textId="77777777" w:rsidR="00F73669" w:rsidRPr="00F73669" w:rsidRDefault="00F73669" w:rsidP="00F73669">
      <w:pPr>
        <w:pStyle w:val="Bibliography"/>
        <w:rPr>
          <w:rFonts w:ascii="Times New Roman" w:hAnsi="Times New Roman" w:cs="Times New Roman"/>
          <w:sz w:val="20"/>
        </w:rPr>
      </w:pPr>
      <w:proofErr w:type="spellStart"/>
      <w:r w:rsidRPr="00F73669">
        <w:rPr>
          <w:rFonts w:ascii="Times New Roman" w:hAnsi="Times New Roman" w:cs="Times New Roman"/>
          <w:sz w:val="20"/>
        </w:rPr>
        <w:t>Yiangou</w:t>
      </w:r>
      <w:proofErr w:type="spellEnd"/>
      <w:r w:rsidRPr="00F73669">
        <w:rPr>
          <w:rFonts w:ascii="Times New Roman" w:hAnsi="Times New Roman" w:cs="Times New Roman"/>
          <w:sz w:val="20"/>
        </w:rPr>
        <w:t xml:space="preserve">, L., Grandy, R. A., </w:t>
      </w:r>
      <w:proofErr w:type="spellStart"/>
      <w:r w:rsidRPr="00F73669">
        <w:rPr>
          <w:rFonts w:ascii="Times New Roman" w:hAnsi="Times New Roman" w:cs="Times New Roman"/>
          <w:sz w:val="20"/>
        </w:rPr>
        <w:t>Osnato</w:t>
      </w:r>
      <w:proofErr w:type="spellEnd"/>
      <w:r w:rsidRPr="00F73669">
        <w:rPr>
          <w:rFonts w:ascii="Times New Roman" w:hAnsi="Times New Roman" w:cs="Times New Roman"/>
          <w:sz w:val="20"/>
        </w:rPr>
        <w:t xml:space="preserve">, A., </w:t>
      </w:r>
      <w:proofErr w:type="spellStart"/>
      <w:r w:rsidRPr="00F73669">
        <w:rPr>
          <w:rFonts w:ascii="Times New Roman" w:hAnsi="Times New Roman" w:cs="Times New Roman"/>
          <w:sz w:val="20"/>
        </w:rPr>
        <w:t>Ortmann</w:t>
      </w:r>
      <w:proofErr w:type="spellEnd"/>
      <w:r w:rsidRPr="00F73669">
        <w:rPr>
          <w:rFonts w:ascii="Times New Roman" w:hAnsi="Times New Roman" w:cs="Times New Roman"/>
          <w:sz w:val="20"/>
        </w:rPr>
        <w:t xml:space="preserve">, D., Sinha, S., &amp; </w:t>
      </w:r>
      <w:proofErr w:type="spellStart"/>
      <w:r w:rsidRPr="00F73669">
        <w:rPr>
          <w:rFonts w:ascii="Times New Roman" w:hAnsi="Times New Roman" w:cs="Times New Roman"/>
          <w:sz w:val="20"/>
        </w:rPr>
        <w:t>Vallier</w:t>
      </w:r>
      <w:proofErr w:type="spellEnd"/>
      <w:r w:rsidRPr="00F73669">
        <w:rPr>
          <w:rFonts w:ascii="Times New Roman" w:hAnsi="Times New Roman" w:cs="Times New Roman"/>
          <w:sz w:val="20"/>
        </w:rPr>
        <w:t xml:space="preserve">, L. (2019). Cell cycle regulators control mesoderm specification in human pluripotent stem cells. </w:t>
      </w:r>
      <w:r w:rsidRPr="00F73669">
        <w:rPr>
          <w:rFonts w:ascii="Times New Roman" w:hAnsi="Times New Roman" w:cs="Times New Roman"/>
          <w:i/>
          <w:iCs/>
          <w:sz w:val="20"/>
        </w:rPr>
        <w:t>Journal of Biological Chemistry</w:t>
      </w:r>
      <w:r w:rsidRPr="00F73669">
        <w:rPr>
          <w:rFonts w:ascii="Times New Roman" w:hAnsi="Times New Roman" w:cs="Times New Roman"/>
          <w:sz w:val="20"/>
        </w:rPr>
        <w:t xml:space="preserve">, </w:t>
      </w:r>
      <w:r w:rsidRPr="00F73669">
        <w:rPr>
          <w:rFonts w:ascii="Times New Roman" w:hAnsi="Times New Roman" w:cs="Times New Roman"/>
          <w:i/>
          <w:iCs/>
          <w:sz w:val="20"/>
        </w:rPr>
        <w:t>294</w:t>
      </w:r>
      <w:r w:rsidRPr="00F73669">
        <w:rPr>
          <w:rFonts w:ascii="Times New Roman" w:hAnsi="Times New Roman" w:cs="Times New Roman"/>
          <w:sz w:val="20"/>
        </w:rPr>
        <w:t>(47), 17903–17914. https://doi.org/10.1074/jbc.RA119.008251</w:t>
      </w:r>
    </w:p>
    <w:p w14:paraId="46484515" w14:textId="7469111A" w:rsidR="00B70E99" w:rsidRDefault="00F73669">
      <w:pPr>
        <w:spacing w:before="189"/>
        <w:ind w:left="113"/>
        <w:jc w:val="both"/>
        <w:rPr>
          <w:rFonts w:ascii="Times New Roman"/>
          <w:w w:val="105"/>
          <w:sz w:val="20"/>
        </w:rPr>
      </w:pPr>
      <w:r>
        <w:rPr>
          <w:rFonts w:ascii="Times New Roman"/>
          <w:w w:val="105"/>
          <w:sz w:val="20"/>
        </w:rPr>
        <w:fldChar w:fldCharType="end"/>
      </w:r>
    </w:p>
    <w:p w14:paraId="39C53589" w14:textId="2617E38A" w:rsidR="00B70E99" w:rsidRPr="00FA267D" w:rsidRDefault="00B70E99" w:rsidP="00B70E99">
      <w:pPr>
        <w:spacing w:line="200" w:lineRule="atLeast"/>
        <w:ind w:left="8617" w:firstLine="90"/>
        <w:rPr>
          <w:rFonts w:ascii="Times New Roman" w:eastAsia="Times New Roman" w:hAnsi="Times New Roman" w:cs="Times New Roman"/>
          <w:sz w:val="24"/>
          <w:szCs w:val="24"/>
        </w:rPr>
      </w:pPr>
    </w:p>
    <w:p w14:paraId="5DA39113" w14:textId="77777777" w:rsidR="00B70E99" w:rsidRPr="00FA267D" w:rsidRDefault="00B70E99" w:rsidP="00B70E99">
      <w:pPr>
        <w:spacing w:before="11"/>
        <w:ind w:firstLine="90"/>
        <w:rPr>
          <w:rFonts w:ascii="Times New Roman" w:eastAsia="Times New Roman" w:hAnsi="Times New Roman" w:cs="Times New Roman"/>
          <w:sz w:val="24"/>
          <w:szCs w:val="24"/>
        </w:rPr>
      </w:pPr>
    </w:p>
    <w:p w14:paraId="67016A9B" w14:textId="70044CEE" w:rsidR="00B70E99" w:rsidRPr="00FA267D" w:rsidRDefault="00B70E99" w:rsidP="00B70E99">
      <w:pPr>
        <w:spacing w:line="20" w:lineRule="atLeast"/>
        <w:ind w:left="109" w:firstLine="90"/>
        <w:rPr>
          <w:rFonts w:ascii="Times New Roman" w:eastAsia="Times New Roman" w:hAnsi="Times New Roman" w:cs="Times New Roman"/>
          <w:sz w:val="24"/>
          <w:szCs w:val="24"/>
        </w:rPr>
      </w:pPr>
    </w:p>
    <w:p w14:paraId="54F337B4" w14:textId="77777777" w:rsidR="00B70E99" w:rsidRDefault="00B70E99">
      <w:pPr>
        <w:spacing w:before="189"/>
        <w:ind w:left="113"/>
        <w:jc w:val="both"/>
        <w:rPr>
          <w:rFonts w:ascii="Times New Roman" w:eastAsia="Times New Roman" w:hAnsi="Times New Roman" w:cs="Times New Roman"/>
          <w:sz w:val="20"/>
          <w:szCs w:val="20"/>
        </w:rPr>
      </w:pPr>
    </w:p>
    <w:sectPr w:rsidR="00B70E99">
      <w:footerReference w:type="default" r:id="rId13"/>
      <w:pgSz w:w="11910" w:h="16840"/>
      <w:pgMar w:top="340" w:right="1020" w:bottom="1560" w:left="1020" w:header="0" w:footer="13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8C648" w14:textId="77777777" w:rsidR="006D3186" w:rsidRDefault="006D3186">
      <w:r>
        <w:separator/>
      </w:r>
    </w:p>
  </w:endnote>
  <w:endnote w:type="continuationSeparator" w:id="0">
    <w:p w14:paraId="58D6B100" w14:textId="77777777" w:rsidR="006D3186" w:rsidRDefault="006D3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Devanagari">
    <w:panose1 w:val="02040503050201020203"/>
    <w:charset w:val="00"/>
    <w:family w:val="roman"/>
    <w:notTrueType/>
    <w:pitch w:val="variable"/>
    <w:sig w:usb0="A00080E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708E" w14:textId="77777777" w:rsidR="00B70E99" w:rsidRDefault="006D3186">
    <w:pPr>
      <w:spacing w:line="14" w:lineRule="auto"/>
      <w:rPr>
        <w:sz w:val="20"/>
        <w:szCs w:val="20"/>
      </w:rPr>
    </w:pPr>
    <w:r>
      <w:pict w14:anchorId="7DAF8F4C">
        <v:shapetype id="_x0000_t202" coordsize="21600,21600" o:spt="202" path="m,l,21600r21600,l21600,xe">
          <v:stroke joinstyle="miter"/>
          <v:path gradientshapeok="t" o:connecttype="rect"/>
        </v:shapetype>
        <v:shape id="_x0000_s2051" type="#_x0000_t202" alt="" style="position:absolute;margin-left:293.15pt;margin-top:762.1pt;width:9pt;height:12pt;z-index:-251656704;mso-wrap-style:square;mso-wrap-edited:f;mso-width-percent:0;mso-height-percent:0;mso-position-horizontal-relative:page;mso-position-vertical-relative:page;mso-width-percent:0;mso-height-percent:0;v-text-anchor:top" filled="f" stroked="f">
          <v:textbox style="mso-next-textbox:#_x0000_s2051" inset="0,0,0,0">
            <w:txbxContent>
              <w:p w14:paraId="53194F9E" w14:textId="77777777" w:rsidR="00B70E99" w:rsidRDefault="00B70E99">
                <w:pPr>
                  <w:pStyle w:val="BodyText"/>
                  <w:spacing w:before="0" w:line="222" w:lineRule="exact"/>
                  <w:ind w:left="40" w:firstLine="0"/>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878D" w14:textId="77777777" w:rsidR="00430B4B" w:rsidRDefault="006D3186">
    <w:pPr>
      <w:spacing w:line="14" w:lineRule="auto"/>
      <w:rPr>
        <w:sz w:val="20"/>
        <w:szCs w:val="20"/>
      </w:rPr>
    </w:pPr>
    <w:r>
      <w:pict w14:anchorId="2297F150">
        <v:shapetype id="_x0000_t202" coordsize="21600,21600" o:spt="202" path="m,l,21600r21600,l21600,xe">
          <v:stroke joinstyle="miter"/>
          <v:path gradientshapeok="t" o:connecttype="rect"/>
        </v:shapetype>
        <v:shape id="_x0000_s2049" type="#_x0000_t202" alt="" style="position:absolute;margin-left:293.15pt;margin-top:762.1pt;width:9pt;height:12pt;z-index:-251658752;mso-wrap-style:square;mso-wrap-edited:f;mso-width-percent:0;mso-height-percent:0;mso-position-horizontal-relative:page;mso-position-vertical-relative:page;mso-width-percent:0;mso-height-percent:0;v-text-anchor:top" filled="f" stroked="f">
          <v:textbox style="mso-next-textbox:#_x0000_s2049" inset="0,0,0,0">
            <w:txbxContent>
              <w:p w14:paraId="0093D32F" w14:textId="77777777" w:rsidR="00430B4B" w:rsidRDefault="00A02031">
                <w:pPr>
                  <w:pStyle w:val="BodyText"/>
                  <w:spacing w:before="0" w:line="222" w:lineRule="exact"/>
                  <w:ind w:left="40" w:firstLine="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6A36D" w14:textId="77777777" w:rsidR="006D3186" w:rsidRDefault="006D3186">
      <w:r>
        <w:separator/>
      </w:r>
    </w:p>
  </w:footnote>
  <w:footnote w:type="continuationSeparator" w:id="0">
    <w:p w14:paraId="117AE04A" w14:textId="77777777" w:rsidR="006D3186" w:rsidRDefault="006D3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473E7"/>
    <w:multiLevelType w:val="hybridMultilevel"/>
    <w:tmpl w:val="71C62F36"/>
    <w:lvl w:ilvl="0" w:tplc="79088578">
      <w:start w:val="1"/>
      <w:numFmt w:val="decimal"/>
      <w:lvlText w:val="%1"/>
      <w:lvlJc w:val="left"/>
      <w:pPr>
        <w:ind w:left="597" w:hanging="484"/>
      </w:pPr>
      <w:rPr>
        <w:rFonts w:ascii="Times New Roman" w:eastAsia="Times New Roman" w:hAnsi="Times New Roman" w:hint="default"/>
        <w:b/>
        <w:bCs/>
        <w:w w:val="115"/>
        <w:sz w:val="28"/>
        <w:szCs w:val="28"/>
      </w:rPr>
    </w:lvl>
    <w:lvl w:ilvl="1" w:tplc="AD18ED60">
      <w:start w:val="1"/>
      <w:numFmt w:val="bullet"/>
      <w:lvlText w:val="•"/>
      <w:lvlJc w:val="left"/>
      <w:pPr>
        <w:ind w:left="612" w:hanging="255"/>
      </w:pPr>
      <w:rPr>
        <w:rFonts w:ascii="Times New Roman" w:eastAsia="Times New Roman" w:hAnsi="Times New Roman" w:hint="default"/>
        <w:w w:val="221"/>
        <w:sz w:val="20"/>
        <w:szCs w:val="20"/>
      </w:rPr>
    </w:lvl>
    <w:lvl w:ilvl="2" w:tplc="FA96F14C">
      <w:start w:val="1"/>
      <w:numFmt w:val="bullet"/>
      <w:lvlText w:val="•"/>
      <w:lvlJc w:val="left"/>
      <w:pPr>
        <w:ind w:left="1644" w:hanging="255"/>
      </w:pPr>
      <w:rPr>
        <w:rFonts w:hint="default"/>
      </w:rPr>
    </w:lvl>
    <w:lvl w:ilvl="3" w:tplc="8E16861A">
      <w:start w:val="1"/>
      <w:numFmt w:val="bullet"/>
      <w:lvlText w:val="•"/>
      <w:lvlJc w:val="left"/>
      <w:pPr>
        <w:ind w:left="2677" w:hanging="255"/>
      </w:pPr>
      <w:rPr>
        <w:rFonts w:hint="default"/>
      </w:rPr>
    </w:lvl>
    <w:lvl w:ilvl="4" w:tplc="0480DC2C">
      <w:start w:val="1"/>
      <w:numFmt w:val="bullet"/>
      <w:lvlText w:val="•"/>
      <w:lvlJc w:val="left"/>
      <w:pPr>
        <w:ind w:left="3709" w:hanging="255"/>
      </w:pPr>
      <w:rPr>
        <w:rFonts w:hint="default"/>
      </w:rPr>
    </w:lvl>
    <w:lvl w:ilvl="5" w:tplc="1D92E0F6">
      <w:start w:val="1"/>
      <w:numFmt w:val="bullet"/>
      <w:lvlText w:val="•"/>
      <w:lvlJc w:val="left"/>
      <w:pPr>
        <w:ind w:left="4742" w:hanging="255"/>
      </w:pPr>
      <w:rPr>
        <w:rFonts w:hint="default"/>
      </w:rPr>
    </w:lvl>
    <w:lvl w:ilvl="6" w:tplc="D6D8B5DA">
      <w:start w:val="1"/>
      <w:numFmt w:val="bullet"/>
      <w:lvlText w:val="•"/>
      <w:lvlJc w:val="left"/>
      <w:pPr>
        <w:ind w:left="5775" w:hanging="255"/>
      </w:pPr>
      <w:rPr>
        <w:rFonts w:hint="default"/>
      </w:rPr>
    </w:lvl>
    <w:lvl w:ilvl="7" w:tplc="E31655B4">
      <w:start w:val="1"/>
      <w:numFmt w:val="bullet"/>
      <w:lvlText w:val="•"/>
      <w:lvlJc w:val="left"/>
      <w:pPr>
        <w:ind w:left="6807" w:hanging="255"/>
      </w:pPr>
      <w:rPr>
        <w:rFonts w:hint="default"/>
      </w:rPr>
    </w:lvl>
    <w:lvl w:ilvl="8" w:tplc="2B60462E">
      <w:start w:val="1"/>
      <w:numFmt w:val="bullet"/>
      <w:lvlText w:val="•"/>
      <w:lvlJc w:val="left"/>
      <w:pPr>
        <w:ind w:left="7840" w:hanging="255"/>
      </w:pPr>
      <w:rPr>
        <w:rFonts w:hint="default"/>
      </w:rPr>
    </w:lvl>
  </w:abstractNum>
  <w:abstractNum w:abstractNumId="1" w15:restartNumberingAfterBreak="0">
    <w:nsid w:val="7DB8552A"/>
    <w:multiLevelType w:val="hybridMultilevel"/>
    <w:tmpl w:val="02305516"/>
    <w:lvl w:ilvl="0" w:tplc="B3FC77A2">
      <w:start w:val="1"/>
      <w:numFmt w:val="decimal"/>
      <w:lvlText w:val="%1."/>
      <w:lvlJc w:val="left"/>
      <w:pPr>
        <w:ind w:left="612" w:hanging="255"/>
      </w:pPr>
      <w:rPr>
        <w:rFonts w:ascii="Times New Roman" w:eastAsia="Times New Roman" w:hAnsi="Times New Roman" w:hint="default"/>
        <w:w w:val="103"/>
        <w:sz w:val="20"/>
        <w:szCs w:val="20"/>
      </w:rPr>
    </w:lvl>
    <w:lvl w:ilvl="1" w:tplc="06A2EDD0">
      <w:start w:val="1"/>
      <w:numFmt w:val="bullet"/>
      <w:lvlText w:val="•"/>
      <w:lvlJc w:val="left"/>
      <w:pPr>
        <w:ind w:left="1541" w:hanging="255"/>
      </w:pPr>
      <w:rPr>
        <w:rFonts w:hint="default"/>
      </w:rPr>
    </w:lvl>
    <w:lvl w:ilvl="2" w:tplc="C638EFA4">
      <w:start w:val="1"/>
      <w:numFmt w:val="bullet"/>
      <w:lvlText w:val="•"/>
      <w:lvlJc w:val="left"/>
      <w:pPr>
        <w:ind w:left="2470" w:hanging="255"/>
      </w:pPr>
      <w:rPr>
        <w:rFonts w:hint="default"/>
      </w:rPr>
    </w:lvl>
    <w:lvl w:ilvl="3" w:tplc="088893CC">
      <w:start w:val="1"/>
      <w:numFmt w:val="bullet"/>
      <w:lvlText w:val="•"/>
      <w:lvlJc w:val="left"/>
      <w:pPr>
        <w:ind w:left="3400" w:hanging="255"/>
      </w:pPr>
      <w:rPr>
        <w:rFonts w:hint="default"/>
      </w:rPr>
    </w:lvl>
    <w:lvl w:ilvl="4" w:tplc="88AA4CD8">
      <w:start w:val="1"/>
      <w:numFmt w:val="bullet"/>
      <w:lvlText w:val="•"/>
      <w:lvlJc w:val="left"/>
      <w:pPr>
        <w:ind w:left="4329" w:hanging="255"/>
      </w:pPr>
      <w:rPr>
        <w:rFonts w:hint="default"/>
      </w:rPr>
    </w:lvl>
    <w:lvl w:ilvl="5" w:tplc="759413AE">
      <w:start w:val="1"/>
      <w:numFmt w:val="bullet"/>
      <w:lvlText w:val="•"/>
      <w:lvlJc w:val="left"/>
      <w:pPr>
        <w:ind w:left="5258" w:hanging="255"/>
      </w:pPr>
      <w:rPr>
        <w:rFonts w:hint="default"/>
      </w:rPr>
    </w:lvl>
    <w:lvl w:ilvl="6" w:tplc="676646F4">
      <w:start w:val="1"/>
      <w:numFmt w:val="bullet"/>
      <w:lvlText w:val="•"/>
      <w:lvlJc w:val="left"/>
      <w:pPr>
        <w:ind w:left="6188" w:hanging="255"/>
      </w:pPr>
      <w:rPr>
        <w:rFonts w:hint="default"/>
      </w:rPr>
    </w:lvl>
    <w:lvl w:ilvl="7" w:tplc="8D86CFFA">
      <w:start w:val="1"/>
      <w:numFmt w:val="bullet"/>
      <w:lvlText w:val="•"/>
      <w:lvlJc w:val="left"/>
      <w:pPr>
        <w:ind w:left="7117" w:hanging="255"/>
      </w:pPr>
      <w:rPr>
        <w:rFonts w:hint="default"/>
      </w:rPr>
    </w:lvl>
    <w:lvl w:ilvl="8" w:tplc="31783042">
      <w:start w:val="1"/>
      <w:numFmt w:val="bullet"/>
      <w:lvlText w:val="•"/>
      <w:lvlJc w:val="left"/>
      <w:pPr>
        <w:ind w:left="8046" w:hanging="255"/>
      </w:pPr>
      <w:rPr>
        <w:rFonts w:hint="default"/>
      </w:rPr>
    </w:lvl>
  </w:abstractNum>
  <w:num w:numId="1">
    <w:abstractNumId w:val="1"/>
  </w:num>
  <w:num w:numId="2">
    <w:abstractNumId w:val="0"/>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I2NALSJuamZhamJko6SsGpxcWZ+XkgBca1ALxNXCcsAAAA"/>
  </w:docVars>
  <w:rsids>
    <w:rsidRoot w:val="00430B4B"/>
    <w:rsid w:val="0005056F"/>
    <w:rsid w:val="000666FB"/>
    <w:rsid w:val="000876BF"/>
    <w:rsid w:val="000B3FF7"/>
    <w:rsid w:val="000C145B"/>
    <w:rsid w:val="000D049A"/>
    <w:rsid w:val="000E73CC"/>
    <w:rsid w:val="00180D99"/>
    <w:rsid w:val="001F323A"/>
    <w:rsid w:val="002042C0"/>
    <w:rsid w:val="002044BF"/>
    <w:rsid w:val="002114B8"/>
    <w:rsid w:val="002661BA"/>
    <w:rsid w:val="002707C2"/>
    <w:rsid w:val="00272DA2"/>
    <w:rsid w:val="002A4AF8"/>
    <w:rsid w:val="002F2F10"/>
    <w:rsid w:val="00317331"/>
    <w:rsid w:val="00323340"/>
    <w:rsid w:val="003C5D9D"/>
    <w:rsid w:val="003D4F3D"/>
    <w:rsid w:val="003E5ACF"/>
    <w:rsid w:val="003E725C"/>
    <w:rsid w:val="00430B4B"/>
    <w:rsid w:val="00434239"/>
    <w:rsid w:val="00441B32"/>
    <w:rsid w:val="004B3C0E"/>
    <w:rsid w:val="004C3A74"/>
    <w:rsid w:val="004D0D55"/>
    <w:rsid w:val="004E3E9C"/>
    <w:rsid w:val="005006F1"/>
    <w:rsid w:val="0052792C"/>
    <w:rsid w:val="005511D0"/>
    <w:rsid w:val="005B1E5D"/>
    <w:rsid w:val="005F0B2F"/>
    <w:rsid w:val="00602418"/>
    <w:rsid w:val="00602C69"/>
    <w:rsid w:val="006B5CC5"/>
    <w:rsid w:val="006C22D1"/>
    <w:rsid w:val="006C2F7F"/>
    <w:rsid w:val="006D3186"/>
    <w:rsid w:val="00702BD1"/>
    <w:rsid w:val="007120C6"/>
    <w:rsid w:val="00751E3F"/>
    <w:rsid w:val="00754CB4"/>
    <w:rsid w:val="0077182A"/>
    <w:rsid w:val="00776550"/>
    <w:rsid w:val="00805945"/>
    <w:rsid w:val="00834CA4"/>
    <w:rsid w:val="00872250"/>
    <w:rsid w:val="008B2C22"/>
    <w:rsid w:val="00906599"/>
    <w:rsid w:val="00912DA4"/>
    <w:rsid w:val="00942D73"/>
    <w:rsid w:val="009561B6"/>
    <w:rsid w:val="009808C4"/>
    <w:rsid w:val="00A02031"/>
    <w:rsid w:val="00A407F3"/>
    <w:rsid w:val="00A65C22"/>
    <w:rsid w:val="00A920CB"/>
    <w:rsid w:val="00AB1FE0"/>
    <w:rsid w:val="00AB2C59"/>
    <w:rsid w:val="00AC1853"/>
    <w:rsid w:val="00AF3EDA"/>
    <w:rsid w:val="00B14DED"/>
    <w:rsid w:val="00B25D31"/>
    <w:rsid w:val="00B63BBE"/>
    <w:rsid w:val="00B70E99"/>
    <w:rsid w:val="00B960F2"/>
    <w:rsid w:val="00BB616C"/>
    <w:rsid w:val="00BC5729"/>
    <w:rsid w:val="00BF74D5"/>
    <w:rsid w:val="00C12A2C"/>
    <w:rsid w:val="00C31CD5"/>
    <w:rsid w:val="00C45225"/>
    <w:rsid w:val="00C70B7A"/>
    <w:rsid w:val="00C92203"/>
    <w:rsid w:val="00C94057"/>
    <w:rsid w:val="00CB0A06"/>
    <w:rsid w:val="00CB2DFC"/>
    <w:rsid w:val="00CC07C7"/>
    <w:rsid w:val="00CF4A52"/>
    <w:rsid w:val="00D069E8"/>
    <w:rsid w:val="00D20879"/>
    <w:rsid w:val="00DB1EA4"/>
    <w:rsid w:val="00DB487C"/>
    <w:rsid w:val="00DC5642"/>
    <w:rsid w:val="00DD0F72"/>
    <w:rsid w:val="00E038A1"/>
    <w:rsid w:val="00E3487A"/>
    <w:rsid w:val="00E355AE"/>
    <w:rsid w:val="00E65777"/>
    <w:rsid w:val="00EB1C75"/>
    <w:rsid w:val="00ED3486"/>
    <w:rsid w:val="00EF258C"/>
    <w:rsid w:val="00F04C8A"/>
    <w:rsid w:val="00F408BF"/>
    <w:rsid w:val="00F645BF"/>
    <w:rsid w:val="00F73669"/>
    <w:rsid w:val="00FA267D"/>
    <w:rsid w:val="00FA47EE"/>
    <w:rsid w:val="00FB3A3C"/>
    <w:rsid w:val="00FD137E"/>
    <w:rsid w:val="00FD2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CC603C"/>
  <w15:docId w15:val="{4621037F-FAF8-A24D-BB9E-5F31A689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15"/>
      <w:ind w:left="597" w:hanging="484"/>
      <w:outlineLvl w:val="0"/>
    </w:pPr>
    <w:rPr>
      <w:rFonts w:ascii="Times New Roman" w:eastAsia="Times New Roman" w:hAnsi="Times New Roman"/>
      <w:b/>
      <w:bCs/>
      <w:sz w:val="28"/>
      <w:szCs w:val="28"/>
    </w:rPr>
  </w:style>
  <w:style w:type="paragraph" w:styleId="Heading2">
    <w:name w:val="heading 2"/>
    <w:basedOn w:val="Normal"/>
    <w:uiPriority w:val="9"/>
    <w:unhideWhenUsed/>
    <w:qFormat/>
    <w:pPr>
      <w:spacing w:before="144"/>
      <w:outlineLvl w:val="1"/>
    </w:pPr>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9"/>
      <w:ind w:left="612" w:hanging="255"/>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A65C22"/>
    <w:rPr>
      <w:rFonts w:ascii="Times New Roman" w:eastAsia="Times New Roman" w:hAnsi="Times New Roman"/>
      <w:b/>
      <w:bCs/>
      <w:sz w:val="28"/>
      <w:szCs w:val="28"/>
    </w:rPr>
  </w:style>
  <w:style w:type="character" w:customStyle="1" w:styleId="BodyTextChar">
    <w:name w:val="Body Text Char"/>
    <w:basedOn w:val="DefaultParagraphFont"/>
    <w:link w:val="BodyText"/>
    <w:uiPriority w:val="1"/>
    <w:rsid w:val="00A65C22"/>
    <w:rPr>
      <w:rFonts w:ascii="Times New Roman" w:eastAsia="Times New Roman" w:hAnsi="Times New Roman"/>
      <w:sz w:val="20"/>
      <w:szCs w:val="20"/>
    </w:rPr>
  </w:style>
  <w:style w:type="paragraph" w:styleId="Bibliography">
    <w:name w:val="Bibliography"/>
    <w:basedOn w:val="Normal"/>
    <w:next w:val="Normal"/>
    <w:uiPriority w:val="37"/>
    <w:unhideWhenUsed/>
    <w:rsid w:val="00F73669"/>
    <w:pPr>
      <w:spacing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541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4163E-812A-D748-AE24-9E3EA64A8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6</Pages>
  <Words>6643</Words>
  <Characters>37868</Characters>
  <Application>Microsoft Office Word</Application>
  <DocSecurity>0</DocSecurity>
  <Lines>315</Lines>
  <Paragraphs>88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May 2021</vt:lpstr>
      <vt:lpstr>Binary Cell Fate Decisions</vt:lpstr>
      <vt:lpstr>Studying Binary Cell Fate Decisions</vt:lpstr>
      <vt:lpstr>Self-complementing Split Fluorescent Proteins </vt:lpstr>
      <vt:lpstr>Conclusions</vt:lpstr>
      <vt:lpstr>References</vt:lpstr>
    </vt:vector>
  </TitlesOfParts>
  <Company/>
  <LinksUpToDate>false</LinksUpToDate>
  <CharactersWithSpaces>44423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Mehta, Setu</cp:lastModifiedBy>
  <cp:revision>20</cp:revision>
  <dcterms:created xsi:type="dcterms:W3CDTF">2021-05-12T18:55:00Z</dcterms:created>
  <dcterms:modified xsi:type="dcterms:W3CDTF">2021-05-13T06:10:00Z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LastSaved">
    <vt:filetime>2021-01-14T00:00:00Z</vt:filetime>
  </property>
  <property fmtid="{D5CDD505-2E9C-101B-9397-08002B2CF9AE}" pid="4" name="ZOTERO_PREF_1">
    <vt:lpwstr>&lt;data data-version="3" zotero-version="5.0.96.2"&gt;&lt;session id="PbKJDKnq"/&gt;&lt;style id="http://www.zotero.org/styles/apa" locale="en-US" hasBibliography="1" bibliographyStyleHasBeenSet="1"/&gt;&lt;prefs&gt;&lt;pref name="fieldType" value="Field"/&gt;&lt;pref name="automaticJou</vt:lpwstr>
  </property>
  <property fmtid="{D5CDD505-2E9C-101B-9397-08002B2CF9AE}" pid="5" name="ZOTERO_PREF_2">
    <vt:lpwstr>rnalAbbreviations" value="true"/&gt;&lt;/prefs&gt;&lt;/data&gt;</vt:lpwstr>
  </property>
</Properties>
</file>